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Centre</w:t>
      </w:r>
    </w:p>
    <w:p w:rsidR="00000000" w:rsidDel="00000000" w:rsidP="00000000" w:rsidRDefault="00000000" w:rsidRPr="00000000" w14:paraId="00000002">
      <w:pPr>
        <w:rPr/>
      </w:pPr>
      <w:r w:rsidDel="00000000" w:rsidR="00000000" w:rsidRPr="00000000">
        <w:rPr>
          <w:rtl w:val="0"/>
        </w:rPr>
        <w:t xml:space="preserve">A few points of pride:</w:t>
      </w:r>
    </w:p>
    <w:p w:rsidR="00000000" w:rsidDel="00000000" w:rsidP="00000000" w:rsidRDefault="00000000" w:rsidRPr="00000000" w14:paraId="00000003">
      <w:pPr>
        <w:rPr/>
      </w:pPr>
      <w:r w:rsidDel="00000000" w:rsidR="00000000" w:rsidRPr="00000000">
        <w:rPr>
          <w:rtl w:val="0"/>
        </w:rPr>
        <w:t xml:space="preserve">-</w:t>
        <w:tab/>
        <w:t xml:space="preserve">The positive response from first-year students (our first-run of the course was Fall 2020, so it’s still very new.)</w:t>
      </w:r>
    </w:p>
    <w:p w:rsidR="00000000" w:rsidDel="00000000" w:rsidP="00000000" w:rsidRDefault="00000000" w:rsidRPr="00000000" w14:paraId="00000004">
      <w:pPr>
        <w:rPr/>
      </w:pPr>
      <w:r w:rsidDel="00000000" w:rsidR="00000000" w:rsidRPr="00000000">
        <w:rPr>
          <w:rtl w:val="0"/>
        </w:rPr>
        <w:t xml:space="preserve">-</w:t>
        <w:tab/>
        <w:t xml:space="preserve">We’ve had overwhelming interest from faculty/staff who are interested in teaching, as well as from students who are interested in serving as First-Year Mentors (combination Orientation Leader and TA for the FYC course.)</w:t>
      </w:r>
    </w:p>
    <w:p w:rsidR="00000000" w:rsidDel="00000000" w:rsidP="00000000" w:rsidRDefault="00000000" w:rsidRPr="00000000" w14:paraId="00000005">
      <w:pPr>
        <w:rPr/>
      </w:pPr>
      <w:r w:rsidDel="00000000" w:rsidR="00000000" w:rsidRPr="00000000">
        <w:rPr>
          <w:rtl w:val="0"/>
        </w:rPr>
        <w:t xml:space="preserve">-</w:t>
        <w:tab/>
        <w:t xml:space="preserve">The cross-department collaboration that has taken place to build the course and strengthen our overall first-year programs (summer pre-arrival, orientation, FYC, etc.)  Folks from nearly every corner of campus have been involved (Admissions, Student Life, Center for Teaching and Learning, Academic Dean’s Office, Learning Commons, Career Development, Study Abroad, Community Engagement, the Library, Registrar, and more.)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Southwestern - First Year Symposium</w:t>
      </w:r>
    </w:p>
    <w:p w:rsidR="00000000" w:rsidDel="00000000" w:rsidP="00000000" w:rsidRDefault="00000000" w:rsidRPr="00000000" w14:paraId="00000009">
      <w:pPr>
        <w:rPr/>
      </w:pPr>
      <w:hyperlink r:id="rId6">
        <w:r w:rsidDel="00000000" w:rsidR="00000000" w:rsidRPr="00000000">
          <w:rPr>
            <w:color w:val="1155cc"/>
            <w:u w:val="single"/>
            <w:rtl w:val="0"/>
          </w:rPr>
          <w:t xml:space="preserve">https://www.southwestern.edu/faculty-dean/first-symposium/</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UL Lafayette</w:t>
      </w:r>
    </w:p>
    <w:p w:rsidR="00000000" w:rsidDel="00000000" w:rsidP="00000000" w:rsidRDefault="00000000" w:rsidRPr="00000000" w14:paraId="0000000C">
      <w:pPr>
        <w:rPr/>
      </w:pPr>
      <w:r w:rsidDel="00000000" w:rsidR="00000000" w:rsidRPr="00000000">
        <w:rPr>
          <w:rtl w:val="0"/>
        </w:rPr>
        <w:t xml:space="preserve">OFYE Showcase</w:t>
      </w:r>
    </w:p>
    <w:p w:rsidR="00000000" w:rsidDel="00000000" w:rsidP="00000000" w:rsidRDefault="00000000" w:rsidRPr="00000000" w14:paraId="0000000D">
      <w:pPr>
        <w:rPr/>
      </w:pPr>
      <w:hyperlink r:id="rId7">
        <w:r w:rsidDel="00000000" w:rsidR="00000000" w:rsidRPr="00000000">
          <w:rPr>
            <w:color w:val="1155cc"/>
            <w:u w:val="single"/>
            <w:rtl w:val="0"/>
          </w:rPr>
          <w:t xml:space="preserve">https://firstyear.louisiana.edu/node/511</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Cajun Connection</w:t>
      </w:r>
    </w:p>
    <w:p w:rsidR="00000000" w:rsidDel="00000000" w:rsidP="00000000" w:rsidRDefault="00000000" w:rsidRPr="00000000" w14:paraId="0000000F">
      <w:pPr>
        <w:rPr/>
      </w:pPr>
      <w:hyperlink r:id="rId8">
        <w:r w:rsidDel="00000000" w:rsidR="00000000" w:rsidRPr="00000000">
          <w:rPr>
            <w:color w:val="1155cc"/>
            <w:u w:val="single"/>
            <w:rtl w:val="0"/>
          </w:rPr>
          <w:t xml:space="preserve">https://firstyear.louisiana.edu/cajunconnection</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Living Learning Communities that have a first-year seminar</w:t>
      </w:r>
    </w:p>
    <w:p w:rsidR="00000000" w:rsidDel="00000000" w:rsidP="00000000" w:rsidRDefault="00000000" w:rsidRPr="00000000" w14:paraId="00000011">
      <w:pPr>
        <w:rPr/>
      </w:pPr>
      <w:hyperlink r:id="rId9">
        <w:r w:rsidDel="00000000" w:rsidR="00000000" w:rsidRPr="00000000">
          <w:rPr>
            <w:color w:val="1155cc"/>
            <w:u w:val="single"/>
            <w:rtl w:val="0"/>
          </w:rPr>
          <w:t xml:space="preserve">https://firstyear.louisiana.edu/get-involved/living-learning-communities</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Peer mentor program</w:t>
      </w:r>
    </w:p>
    <w:p w:rsidR="00000000" w:rsidDel="00000000" w:rsidP="00000000" w:rsidRDefault="00000000" w:rsidRPr="00000000" w14:paraId="00000013">
      <w:pPr>
        <w:rPr/>
      </w:pPr>
      <w:hyperlink r:id="rId10">
        <w:r w:rsidDel="00000000" w:rsidR="00000000" w:rsidRPr="00000000">
          <w:rPr>
            <w:color w:val="1155cc"/>
            <w:u w:val="single"/>
            <w:rtl w:val="0"/>
          </w:rPr>
          <w:t xml:space="preserve">https://firstyear.louisiana.edu/get-involved/peer-mentor-program</w:t>
        </w:r>
      </w:hyperlink>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Trinity</w:t>
      </w:r>
    </w:p>
    <w:p w:rsidR="00000000" w:rsidDel="00000000" w:rsidP="00000000" w:rsidRDefault="00000000" w:rsidRPr="00000000" w14:paraId="00000016">
      <w:pPr>
        <w:numPr>
          <w:ilvl w:val="0"/>
          <w:numId w:val="1"/>
        </w:numPr>
        <w:spacing w:after="0" w:afterAutospacing="0" w:before="240" w:lineRule="auto"/>
        <w:ind w:left="720" w:hanging="360"/>
      </w:pPr>
      <w:r w:rsidDel="00000000" w:rsidR="00000000" w:rsidRPr="00000000">
        <w:rPr>
          <w:rtl w:val="0"/>
        </w:rPr>
        <w:t xml:space="preserve">Elements of your FY course that you are proud of</w:t>
      </w:r>
    </w:p>
    <w:p w:rsidR="00000000" w:rsidDel="00000000" w:rsidP="00000000" w:rsidRDefault="00000000" w:rsidRPr="00000000" w14:paraId="00000017">
      <w:pPr>
        <w:numPr>
          <w:ilvl w:val="1"/>
          <w:numId w:val="1"/>
        </w:numPr>
        <w:spacing w:after="480" w:before="0" w:beforeAutospacing="0" w:lineRule="auto"/>
        <w:ind w:left="1440" w:hanging="360"/>
      </w:pPr>
      <w:r w:rsidDel="00000000" w:rsidR="00000000" w:rsidRPr="00000000">
        <w:rPr>
          <w:rtl w:val="0"/>
        </w:rPr>
        <w:t xml:space="preserve">Trinity's FYE combines a seminar and a writing workshop into a 6-credit-hour class that all incoming students are required to take in their first semester. This model isn't without its challenges, viz. faculty recruitment, but it has at least two virtues: it creates solidarity and a sense of belonging among first-years (everyone is taking the course, everyone has something to share about their FYE), and it elevates writing instruction to its proper place on campus. Students respond to authentic questions (rather than canned examples) stimulated by discussion of seminar texts, then develop those questions into sturdy, full-length arguments in their writing workshops. </w:t>
      </w:r>
    </w:p>
    <w:p w:rsidR="00000000" w:rsidDel="00000000" w:rsidP="00000000" w:rsidRDefault="00000000" w:rsidRPr="00000000" w14:paraId="00000018">
      <w:pPr>
        <w:rPr/>
      </w:pPr>
      <w:r w:rsidDel="00000000" w:rsidR="00000000" w:rsidRPr="00000000">
        <w:rPr>
          <w:rtl w:val="0"/>
        </w:rPr>
        <w:t xml:space="preserve">Gettysburg College</w:t>
      </w:r>
    </w:p>
    <w:p w:rsidR="00000000" w:rsidDel="00000000" w:rsidP="00000000" w:rsidRDefault="00000000" w:rsidRPr="00000000" w14:paraId="00000019">
      <w:pPr>
        <w:rPr/>
      </w:pPr>
      <w:r w:rsidDel="00000000" w:rsidR="00000000" w:rsidRPr="00000000">
        <w:rPr>
          <w:rtl w:val="0"/>
        </w:rPr>
        <w:t xml:space="preserve">CAFE Symposium</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CAFE Symposium pulls together a variety of engaged students as they present their great work in poster format. All are welcome and encouraged to attend the symposium featuring creative students and supportive faculty mentors.</w:t>
      </w:r>
    </w:p>
    <w:p w:rsidR="00000000" w:rsidDel="00000000" w:rsidP="00000000" w:rsidRDefault="00000000" w:rsidRPr="00000000" w14:paraId="0000001B">
      <w:pPr>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color w:val="1155cc"/>
            <w:sz w:val="28"/>
            <w:szCs w:val="28"/>
            <w:u w:val="single"/>
            <w:rtl w:val="0"/>
          </w:rPr>
          <w:t xml:space="preserve">https://www.gettysburg.edu/offices/student-scholarly-engagement/undergraduate-research-creative-activity/cafe-symposium/</w:t>
        </w:r>
      </w:hyperlink>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Hamilton College guidebook</w:t>
      </w:r>
    </w:p>
    <w:p w:rsidR="00000000" w:rsidDel="00000000" w:rsidP="00000000" w:rsidRDefault="00000000" w:rsidRPr="00000000" w14:paraId="0000001F">
      <w:pPr>
        <w:rPr>
          <w:rFonts w:ascii="Times New Roman" w:cs="Times New Roman" w:eastAsia="Times New Roman" w:hAnsi="Times New Roman"/>
          <w:sz w:val="28"/>
          <w:szCs w:val="28"/>
        </w:rPr>
      </w:pPr>
      <w:hyperlink r:id="rId12">
        <w:r w:rsidDel="00000000" w:rsidR="00000000" w:rsidRPr="00000000">
          <w:rPr>
            <w:rFonts w:ascii="Times New Roman" w:cs="Times New Roman" w:eastAsia="Times New Roman" w:hAnsi="Times New Roman"/>
            <w:color w:val="1155cc"/>
            <w:sz w:val="28"/>
            <w:szCs w:val="28"/>
            <w:u w:val="single"/>
            <w:rtl w:val="0"/>
          </w:rPr>
          <w:t xml:space="preserve">https://my.hamilton.edu/offices/dof/handbooks-and-forms/first-year-course-program-guide</w:t>
        </w:r>
      </w:hyperlink>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firstyear.louisiana.edu/cajunconnection"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hyperlink" Target="https://my.hamilton.edu/offices/dof/handbooks-and-forms/first-year-course-program-guide" TargetMode="External"/><Relationship Id="rId7" Type="http://schemas.openxmlformats.org/officeDocument/2006/relationships/hyperlink" Target="https://firstyear.louisiana.edu/node/511"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s://www.gettysburg.edu/offices/student-scholarly-engagement/undergraduate-research-creative-activity/cafe-symposium/" TargetMode="External"/><Relationship Id="rId6" Type="http://schemas.openxmlformats.org/officeDocument/2006/relationships/hyperlink" Target="https://www.southwestern.edu/faculty-dean/first-symposium/"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https://firstyear.louisiana.edu/get-involved/peer-mentor-program" TargetMode="External"/><Relationship Id="rId4" Type="http://schemas.openxmlformats.org/officeDocument/2006/relationships/numbering" Target="numbering.xml"/><Relationship Id="rId9" Type="http://schemas.openxmlformats.org/officeDocument/2006/relationships/hyperlink" Target="https://firstyear.louisiana.edu/get-involved/living-learning-communiti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4EA2A-49AF-47CF-AD1D-D7A5FCFB3809}"/>
</file>

<file path=customXml/itemProps2.xml><?xml version="1.0" encoding="utf-8"?>
<ds:datastoreItem xmlns:ds="http://schemas.openxmlformats.org/officeDocument/2006/customXml" ds:itemID="{98D7FB07-7371-4022-8FCD-69971D6DC705}"/>
</file>

<file path=customXml/itemProps3.xml><?xml version="1.0" encoding="utf-8"?>
<ds:datastoreItem xmlns:ds="http://schemas.openxmlformats.org/officeDocument/2006/customXml" ds:itemID="{DBDEB85E-3EA7-49EE-B31D-A829A44EEF2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