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4C004B" w14:textId="77777777" w:rsidR="008F305B" w:rsidRDefault="008F305B">
      <w:pPr>
        <w:jc w:val="center"/>
        <w:rPr>
          <w:rFonts w:ascii="Times New Roman" w:eastAsia="Times New Roman" w:hAnsi="Times New Roman" w:cs="Times New Roman"/>
          <w:b/>
          <w:sz w:val="32"/>
        </w:rPr>
      </w:pPr>
    </w:p>
    <w:p w14:paraId="39B447F0" w14:textId="77777777" w:rsidR="00890401" w:rsidRDefault="00890401">
      <w:pPr>
        <w:jc w:val="center"/>
        <w:rPr>
          <w:rFonts w:ascii="Times New Roman" w:eastAsia="Times New Roman" w:hAnsi="Times New Roman" w:cs="Times New Roman"/>
          <w:b/>
          <w:sz w:val="32"/>
        </w:rPr>
      </w:pPr>
    </w:p>
    <w:p w14:paraId="5438A46B" w14:textId="77777777" w:rsidR="00935112" w:rsidRDefault="00007B56">
      <w:pPr>
        <w:jc w:val="center"/>
      </w:pPr>
      <w:r>
        <w:rPr>
          <w:rFonts w:ascii="Times New Roman" w:eastAsia="Times New Roman" w:hAnsi="Times New Roman" w:cs="Times New Roman"/>
          <w:b/>
          <w:sz w:val="32"/>
        </w:rPr>
        <w:t>The First-Year Gateway Experience: A Groundbreaking Model</w:t>
      </w:r>
    </w:p>
    <w:p w14:paraId="1C087BBC" w14:textId="77777777" w:rsidR="00935112" w:rsidRDefault="00935112">
      <w:pPr>
        <w:jc w:val="center"/>
      </w:pPr>
    </w:p>
    <w:tbl>
      <w:tblPr>
        <w:tblStyle w:val="a"/>
        <w:tblW w:w="8895" w:type="dxa"/>
        <w:tblBorders>
          <w:top w:val="nil"/>
          <w:left w:val="nil"/>
          <w:bottom w:val="nil"/>
          <w:right w:val="nil"/>
        </w:tblBorders>
        <w:tblLayout w:type="fixed"/>
        <w:tblLook w:val="0600" w:firstRow="0" w:lastRow="0" w:firstColumn="0" w:lastColumn="0" w:noHBand="1" w:noVBand="1"/>
      </w:tblPr>
      <w:tblGrid>
        <w:gridCol w:w="4440"/>
        <w:gridCol w:w="4455"/>
      </w:tblGrid>
      <w:tr w:rsidR="00935112" w14:paraId="695E562E" w14:textId="77777777">
        <w:tc>
          <w:tcPr>
            <w:tcW w:w="4440" w:type="dxa"/>
            <w:tcBorders>
              <w:right w:val="nil"/>
            </w:tcBorders>
          </w:tcPr>
          <w:p w14:paraId="0C7F8D21" w14:textId="77777777" w:rsidR="00935112" w:rsidRDefault="00007B56">
            <w:pPr>
              <w:jc w:val="center"/>
            </w:pPr>
            <w:r>
              <w:rPr>
                <w:rFonts w:ascii="Times New Roman" w:eastAsia="Times New Roman" w:hAnsi="Times New Roman" w:cs="Times New Roman"/>
                <w:b/>
              </w:rPr>
              <w:t>Laurie Hazard</w:t>
            </w:r>
          </w:p>
          <w:p w14:paraId="1455D673" w14:textId="77777777" w:rsidR="00935112" w:rsidRDefault="00007B56">
            <w:pPr>
              <w:jc w:val="center"/>
            </w:pPr>
            <w:r>
              <w:rPr>
                <w:rFonts w:ascii="Times New Roman" w:eastAsia="Times New Roman" w:hAnsi="Times New Roman" w:cs="Times New Roman"/>
              </w:rPr>
              <w:t>Bryant University</w:t>
            </w:r>
          </w:p>
          <w:p w14:paraId="3C10BABE" w14:textId="77777777" w:rsidR="00935112" w:rsidRDefault="00007B56">
            <w:pPr>
              <w:jc w:val="center"/>
            </w:pPr>
            <w:r>
              <w:rPr>
                <w:rFonts w:ascii="Times New Roman" w:eastAsia="Times New Roman" w:hAnsi="Times New Roman" w:cs="Times New Roman"/>
              </w:rPr>
              <w:t>lhazard@bryant.edu</w:t>
            </w:r>
          </w:p>
        </w:tc>
        <w:tc>
          <w:tcPr>
            <w:tcW w:w="4455" w:type="dxa"/>
            <w:tcBorders>
              <w:left w:val="nil"/>
            </w:tcBorders>
          </w:tcPr>
          <w:p w14:paraId="68D8D101" w14:textId="77777777" w:rsidR="00935112" w:rsidRDefault="00007B56">
            <w:pPr>
              <w:jc w:val="center"/>
            </w:pPr>
            <w:r>
              <w:rPr>
                <w:rFonts w:ascii="Times New Roman" w:eastAsia="Times New Roman" w:hAnsi="Times New Roman" w:cs="Times New Roman"/>
                <w:b/>
              </w:rPr>
              <w:t>Bob Shea</w:t>
            </w:r>
          </w:p>
          <w:p w14:paraId="60D7063A" w14:textId="77777777" w:rsidR="00935112" w:rsidRDefault="00007B56">
            <w:pPr>
              <w:jc w:val="center"/>
            </w:pPr>
            <w:r>
              <w:rPr>
                <w:rFonts w:ascii="Times New Roman" w:eastAsia="Times New Roman" w:hAnsi="Times New Roman" w:cs="Times New Roman"/>
              </w:rPr>
              <w:t>Bryant University</w:t>
            </w:r>
          </w:p>
          <w:p w14:paraId="3416CA5E" w14:textId="77777777" w:rsidR="00935112" w:rsidRDefault="00007B56">
            <w:pPr>
              <w:jc w:val="center"/>
            </w:pPr>
            <w:r>
              <w:rPr>
                <w:rFonts w:ascii="Times New Roman" w:eastAsia="Times New Roman" w:hAnsi="Times New Roman" w:cs="Times New Roman"/>
              </w:rPr>
              <w:t>rshea1@bryant.edu</w:t>
            </w:r>
          </w:p>
        </w:tc>
      </w:tr>
    </w:tbl>
    <w:p w14:paraId="631D2157" w14:textId="77777777" w:rsidR="00935112" w:rsidRDefault="00935112"/>
    <w:p w14:paraId="6F94DF65" w14:textId="77777777" w:rsidR="00935112" w:rsidRDefault="00007B56" w:rsidP="00C3544F">
      <w:pPr>
        <w:spacing w:line="240" w:lineRule="auto"/>
        <w:jc w:val="both"/>
      </w:pPr>
      <w:r>
        <w:rPr>
          <w:rFonts w:ascii="Times New Roman" w:eastAsia="Times New Roman" w:hAnsi="Times New Roman" w:cs="Times New Roman"/>
          <w:b/>
        </w:rPr>
        <w:t xml:space="preserve">Abstract - </w:t>
      </w:r>
      <w:r w:rsidR="003D31D0">
        <w:rPr>
          <w:rFonts w:ascii="Times New Roman" w:eastAsia="Times New Roman" w:hAnsi="Times New Roman" w:cs="Times New Roman"/>
          <w:b/>
        </w:rPr>
        <w:t>Based on calls for a paradigm shift in higher education, which have appeare</w:t>
      </w:r>
      <w:r w:rsidR="00441076">
        <w:rPr>
          <w:rFonts w:ascii="Times New Roman" w:eastAsia="Times New Roman" w:hAnsi="Times New Roman" w:cs="Times New Roman"/>
          <w:b/>
        </w:rPr>
        <w:t>d in the literature for years</w:t>
      </w:r>
      <w:r w:rsidR="00952D1E">
        <w:rPr>
          <w:rFonts w:ascii="Times New Roman" w:eastAsia="Times New Roman" w:hAnsi="Times New Roman" w:cs="Times New Roman"/>
          <w:b/>
        </w:rPr>
        <w:t xml:space="preserve"> (Barr &amp;</w:t>
      </w:r>
      <w:proofErr w:type="spellStart"/>
      <w:r w:rsidR="00952D1E">
        <w:rPr>
          <w:rFonts w:ascii="Times New Roman" w:eastAsia="Times New Roman" w:hAnsi="Times New Roman" w:cs="Times New Roman"/>
          <w:b/>
        </w:rPr>
        <w:t>Tagg</w:t>
      </w:r>
      <w:proofErr w:type="spellEnd"/>
      <w:r w:rsidR="00952D1E">
        <w:rPr>
          <w:rFonts w:ascii="Times New Roman" w:eastAsia="Times New Roman" w:hAnsi="Times New Roman" w:cs="Times New Roman"/>
          <w:b/>
        </w:rPr>
        <w:t xml:space="preserve">, 1995; </w:t>
      </w:r>
      <w:proofErr w:type="spellStart"/>
      <w:r w:rsidR="00952D1E">
        <w:rPr>
          <w:rFonts w:ascii="Times New Roman" w:eastAsia="Times New Roman" w:hAnsi="Times New Roman" w:cs="Times New Roman"/>
          <w:b/>
        </w:rPr>
        <w:t>Tagg</w:t>
      </w:r>
      <w:proofErr w:type="spellEnd"/>
      <w:r w:rsidR="00952D1E">
        <w:rPr>
          <w:rFonts w:ascii="Times New Roman" w:eastAsia="Times New Roman" w:hAnsi="Times New Roman" w:cs="Times New Roman"/>
          <w:b/>
        </w:rPr>
        <w:t>, 2003</w:t>
      </w:r>
      <w:r w:rsidR="00441076">
        <w:rPr>
          <w:rFonts w:ascii="Times New Roman" w:eastAsia="Times New Roman" w:hAnsi="Times New Roman" w:cs="Times New Roman"/>
          <w:b/>
        </w:rPr>
        <w:t xml:space="preserve">, </w:t>
      </w:r>
      <w:r>
        <w:rPr>
          <w:rFonts w:ascii="Times New Roman" w:eastAsia="Times New Roman" w:hAnsi="Times New Roman" w:cs="Times New Roman"/>
          <w:b/>
        </w:rPr>
        <w:t xml:space="preserve">Bryant University transformed its first-year experience into an </w:t>
      </w:r>
      <w:r w:rsidR="003D31D0">
        <w:rPr>
          <w:rFonts w:ascii="Times New Roman" w:eastAsia="Times New Roman" w:hAnsi="Times New Roman" w:cs="Times New Roman"/>
          <w:b/>
        </w:rPr>
        <w:t>innovative model, T</w:t>
      </w:r>
      <w:r>
        <w:rPr>
          <w:rFonts w:ascii="Times New Roman" w:eastAsia="Times New Roman" w:hAnsi="Times New Roman" w:cs="Times New Roman"/>
          <w:b/>
        </w:rPr>
        <w:t xml:space="preserve">he First-Year Gateway). Informed by research from The Carnegie Foundation for the Advancement of Teaching’s </w:t>
      </w:r>
      <w:r>
        <w:rPr>
          <w:rFonts w:ascii="Times New Roman" w:eastAsia="Times New Roman" w:hAnsi="Times New Roman" w:cs="Times New Roman"/>
          <w:b/>
          <w:i/>
        </w:rPr>
        <w:t>Rethinking Undergraduate Business Education</w:t>
      </w:r>
      <w:r w:rsidR="00292AFF">
        <w:rPr>
          <w:rFonts w:ascii="Times New Roman" w:eastAsia="Times New Roman" w:hAnsi="Times New Roman" w:cs="Times New Roman"/>
          <w:b/>
        </w:rPr>
        <w:t xml:space="preserve">, the </w:t>
      </w:r>
      <w:r>
        <w:rPr>
          <w:rFonts w:ascii="Times New Roman" w:eastAsia="Times New Roman" w:hAnsi="Times New Roman" w:cs="Times New Roman"/>
          <w:b/>
        </w:rPr>
        <w:t xml:space="preserve">Association of </w:t>
      </w:r>
      <w:r w:rsidR="00292AFF">
        <w:rPr>
          <w:rFonts w:ascii="Times New Roman" w:eastAsia="Times New Roman" w:hAnsi="Times New Roman" w:cs="Times New Roman"/>
          <w:b/>
        </w:rPr>
        <w:t xml:space="preserve">American </w:t>
      </w:r>
      <w:r>
        <w:rPr>
          <w:rFonts w:ascii="Times New Roman" w:eastAsia="Times New Roman" w:hAnsi="Times New Roman" w:cs="Times New Roman"/>
          <w:b/>
        </w:rPr>
        <w:t xml:space="preserve">Colleges &amp; Universities’ </w:t>
      </w:r>
      <w:r>
        <w:rPr>
          <w:rFonts w:ascii="Times New Roman" w:eastAsia="Times New Roman" w:hAnsi="Times New Roman" w:cs="Times New Roman"/>
          <w:b/>
          <w:i/>
        </w:rPr>
        <w:t>Liberal Education for America’s Promise</w:t>
      </w:r>
      <w:r>
        <w:rPr>
          <w:rFonts w:ascii="Times New Roman" w:eastAsia="Times New Roman" w:hAnsi="Times New Roman" w:cs="Times New Roman"/>
          <w:b/>
        </w:rPr>
        <w:t xml:space="preserve">, and the Wabash National Study, a group identified five learning outcomes:  effective communication, critical thinking, ethical reasoning, diversity awareness, and information literacy. Key to this undertaking was faculty development, and utilizing assessment data to improve curricular design and learning outcomes. The result </w:t>
      </w:r>
      <w:r w:rsidR="00952D1E">
        <w:rPr>
          <w:rFonts w:ascii="Times New Roman" w:eastAsia="Times New Roman" w:hAnsi="Times New Roman" w:cs="Times New Roman"/>
          <w:b/>
        </w:rPr>
        <w:t xml:space="preserve">is an interdisciplinary 13 </w:t>
      </w:r>
      <w:r>
        <w:rPr>
          <w:rFonts w:ascii="Times New Roman" w:eastAsia="Times New Roman" w:hAnsi="Times New Roman" w:cs="Times New Roman"/>
          <w:b/>
        </w:rPr>
        <w:t>credit first-year program developed to foster a successful transition into Bryant University. Launched in fall 2012, assessment data was gathered to determine whether common learning outcomes were achieved. Faculty embedded student success goals into their courses</w:t>
      </w:r>
      <w:r w:rsidR="00952D1E">
        <w:rPr>
          <w:rFonts w:ascii="Times New Roman" w:eastAsia="Times New Roman" w:hAnsi="Times New Roman" w:cs="Times New Roman"/>
          <w:b/>
        </w:rPr>
        <w:t>, which are</w:t>
      </w:r>
      <w:r>
        <w:rPr>
          <w:rFonts w:ascii="Times New Roman" w:eastAsia="Times New Roman" w:hAnsi="Times New Roman" w:cs="Times New Roman"/>
          <w:b/>
        </w:rPr>
        <w:t xml:space="preserve"> design</w:t>
      </w:r>
      <w:r w:rsidR="003D31D0">
        <w:rPr>
          <w:rFonts w:ascii="Times New Roman" w:eastAsia="Times New Roman" w:hAnsi="Times New Roman" w:cs="Times New Roman"/>
          <w:b/>
        </w:rPr>
        <w:t>ed</w:t>
      </w:r>
      <w:r>
        <w:rPr>
          <w:rFonts w:ascii="Times New Roman" w:eastAsia="Times New Roman" w:hAnsi="Times New Roman" w:cs="Times New Roman"/>
          <w:b/>
        </w:rPr>
        <w:t xml:space="preserve"> to foster purposeful adjustment to higher education. Preliminary assessment indicates institutional gains in retention, academic standing, and student and faculty engagement during the implementation year. The new model, based on Wenger’s community of practice (COP)</w:t>
      </w:r>
      <w:r w:rsidR="00952D1E">
        <w:rPr>
          <w:rFonts w:ascii="Times New Roman" w:eastAsia="Times New Roman" w:hAnsi="Times New Roman" w:cs="Times New Roman"/>
          <w:b/>
        </w:rPr>
        <w:t>,</w:t>
      </w:r>
      <w:r>
        <w:rPr>
          <w:rFonts w:ascii="Times New Roman" w:eastAsia="Times New Roman" w:hAnsi="Times New Roman" w:cs="Times New Roman"/>
          <w:b/>
        </w:rPr>
        <w:t xml:space="preserve"> created opportunities to discuss pedagogy.  Most importantly, the model fostered faculty’</w:t>
      </w:r>
      <w:r w:rsidR="00441076">
        <w:rPr>
          <w:rFonts w:ascii="Times New Roman" w:eastAsia="Times New Roman" w:hAnsi="Times New Roman" w:cs="Times New Roman"/>
          <w:b/>
        </w:rPr>
        <w:t>s deeper understanding of first-</w:t>
      </w:r>
      <w:r>
        <w:rPr>
          <w:rFonts w:ascii="Times New Roman" w:eastAsia="Times New Roman" w:hAnsi="Times New Roman" w:cs="Times New Roman"/>
          <w:b/>
        </w:rPr>
        <w:t>year transitions.</w:t>
      </w:r>
    </w:p>
    <w:p w14:paraId="3D4B08E6" w14:textId="77777777" w:rsidR="00935112" w:rsidRDefault="00935112">
      <w:pPr>
        <w:spacing w:after="200"/>
      </w:pPr>
    </w:p>
    <w:p w14:paraId="02A125EB" w14:textId="77777777" w:rsidR="00935112" w:rsidRDefault="00007B56">
      <w:r>
        <w:rPr>
          <w:rFonts w:ascii="Times New Roman" w:eastAsia="Times New Roman" w:hAnsi="Times New Roman" w:cs="Times New Roman"/>
          <w:b/>
          <w:sz w:val="24"/>
        </w:rPr>
        <w:t>Introduction</w:t>
      </w:r>
    </w:p>
    <w:p w14:paraId="7B384AFC" w14:textId="77777777" w:rsidR="00935112" w:rsidRDefault="00935112"/>
    <w:p w14:paraId="39A1A29B" w14:textId="77777777" w:rsidR="00935112" w:rsidRDefault="00007B56">
      <w:pPr>
        <w:spacing w:line="240" w:lineRule="auto"/>
        <w:ind w:firstLine="720"/>
      </w:pPr>
      <w:r>
        <w:rPr>
          <w:rFonts w:ascii="Times New Roman" w:eastAsia="Times New Roman" w:hAnsi="Times New Roman" w:cs="Times New Roman"/>
        </w:rPr>
        <w:t>Higher education is in need of a paradigm shift.  The rhetoric about being student-centered has, for too long, served to justify traditional practices that have failed to deliver on the core mission of institutions - to promote student learning.   Calls for a learning-centered paradigm have appeared in the teaching and learning literature for more than 15 years (Barr &amp;</w:t>
      </w:r>
      <w:proofErr w:type="spellStart"/>
      <w:r>
        <w:rPr>
          <w:rFonts w:ascii="Times New Roman" w:eastAsia="Times New Roman" w:hAnsi="Times New Roman" w:cs="Times New Roman"/>
        </w:rPr>
        <w:t>Tagg</w:t>
      </w:r>
      <w:proofErr w:type="spellEnd"/>
      <w:r>
        <w:rPr>
          <w:rFonts w:ascii="Times New Roman" w:eastAsia="Times New Roman" w:hAnsi="Times New Roman" w:cs="Times New Roman"/>
        </w:rPr>
        <w:t xml:space="preserve">, 1995; </w:t>
      </w:r>
      <w:proofErr w:type="spellStart"/>
      <w:r>
        <w:rPr>
          <w:rFonts w:ascii="Times New Roman" w:eastAsia="Times New Roman" w:hAnsi="Times New Roman" w:cs="Times New Roman"/>
        </w:rPr>
        <w:t>Tagg</w:t>
      </w:r>
      <w:proofErr w:type="spellEnd"/>
      <w:r>
        <w:rPr>
          <w:rFonts w:ascii="Times New Roman" w:eastAsia="Times New Roman" w:hAnsi="Times New Roman" w:cs="Times New Roman"/>
        </w:rPr>
        <w:t xml:space="preserve"> 2003). While these calls have not gone completely unheard, innovation has largely occurred at the margi</w:t>
      </w:r>
      <w:r w:rsidR="00441076">
        <w:rPr>
          <w:rFonts w:ascii="Times New Roman" w:eastAsia="Times New Roman" w:hAnsi="Times New Roman" w:cs="Times New Roman"/>
        </w:rPr>
        <w:t>ns – the margins of</w:t>
      </w:r>
      <w:r w:rsidR="0010227F">
        <w:rPr>
          <w:rFonts w:ascii="Times New Roman" w:eastAsia="Times New Roman" w:hAnsi="Times New Roman" w:cs="Times New Roman"/>
        </w:rPr>
        <w:t xml:space="preserve"> higher education</w:t>
      </w:r>
      <w:r>
        <w:rPr>
          <w:rFonts w:ascii="Times New Roman" w:eastAsia="Times New Roman" w:hAnsi="Times New Roman" w:cs="Times New Roman"/>
        </w:rPr>
        <w:t xml:space="preserve"> and the margins of institutional practice.  The shift in paradigm to </w:t>
      </w:r>
      <w:r w:rsidR="000C3E33">
        <w:rPr>
          <w:rFonts w:ascii="Times New Roman" w:eastAsia="Times New Roman" w:hAnsi="Times New Roman" w:cs="Times New Roman"/>
        </w:rPr>
        <w:t xml:space="preserve">becoming learning-centered </w:t>
      </w:r>
      <w:r>
        <w:rPr>
          <w:rFonts w:ascii="Times New Roman" w:eastAsia="Times New Roman" w:hAnsi="Times New Roman" w:cs="Times New Roman"/>
        </w:rPr>
        <w:t>require</w:t>
      </w:r>
      <w:r w:rsidR="000C3E33">
        <w:rPr>
          <w:rFonts w:ascii="Times New Roman" w:eastAsia="Times New Roman" w:hAnsi="Times New Roman" w:cs="Times New Roman"/>
        </w:rPr>
        <w:t>s</w:t>
      </w:r>
      <w:r>
        <w:rPr>
          <w:rFonts w:ascii="Times New Roman" w:eastAsia="Times New Roman" w:hAnsi="Times New Roman" w:cs="Times New Roman"/>
        </w:rPr>
        <w:t xml:space="preserve"> educators </w:t>
      </w:r>
      <w:r w:rsidR="000C3E33">
        <w:rPr>
          <w:rFonts w:ascii="Times New Roman" w:eastAsia="Times New Roman" w:hAnsi="Times New Roman" w:cs="Times New Roman"/>
        </w:rPr>
        <w:t>to act as agents of change</w:t>
      </w:r>
      <w:r w:rsidR="00875446">
        <w:rPr>
          <w:rFonts w:ascii="Times New Roman" w:eastAsia="Times New Roman" w:hAnsi="Times New Roman" w:cs="Times New Roman"/>
        </w:rPr>
        <w:t xml:space="preserve">, </w:t>
      </w:r>
      <w:r>
        <w:rPr>
          <w:rFonts w:ascii="Times New Roman" w:eastAsia="Times New Roman" w:hAnsi="Times New Roman" w:cs="Times New Roman"/>
        </w:rPr>
        <w:t>demonstrate a laser</w:t>
      </w:r>
      <w:r w:rsidR="000C3E33">
        <w:rPr>
          <w:rFonts w:ascii="Times New Roman" w:eastAsia="Times New Roman" w:hAnsi="Times New Roman" w:cs="Times New Roman"/>
        </w:rPr>
        <w:t xml:space="preserve"> focus on student learning, commit</w:t>
      </w:r>
      <w:r>
        <w:rPr>
          <w:rFonts w:ascii="Times New Roman" w:eastAsia="Times New Roman" w:hAnsi="Times New Roman" w:cs="Times New Roman"/>
        </w:rPr>
        <w:t xml:space="preserve"> to their teaching and learning mission, and plan for effectively utilizing learning outcomes assessment data.  Furth</w:t>
      </w:r>
      <w:r w:rsidR="00980197">
        <w:rPr>
          <w:rFonts w:ascii="Times New Roman" w:eastAsia="Times New Roman" w:hAnsi="Times New Roman" w:cs="Times New Roman"/>
        </w:rPr>
        <w:t>er, administrative</w:t>
      </w:r>
      <w:r w:rsidR="000C00E7">
        <w:rPr>
          <w:rFonts w:ascii="Times New Roman" w:eastAsia="Times New Roman" w:hAnsi="Times New Roman" w:cs="Times New Roman"/>
        </w:rPr>
        <w:t xml:space="preserve"> </w:t>
      </w:r>
      <w:r>
        <w:rPr>
          <w:rFonts w:ascii="Times New Roman" w:eastAsia="Times New Roman" w:hAnsi="Times New Roman" w:cs="Times New Roman"/>
        </w:rPr>
        <w:t xml:space="preserve">agents of change must demonstrate a commitment to support, foster and reward classroom innovation, document their approaches and results, and make public their efforts in the form of </w:t>
      </w:r>
      <w:r w:rsidR="00441076">
        <w:rPr>
          <w:rFonts w:ascii="Times New Roman" w:eastAsia="Times New Roman" w:hAnsi="Times New Roman" w:cs="Times New Roman"/>
        </w:rPr>
        <w:t xml:space="preserve">the </w:t>
      </w:r>
      <w:r>
        <w:rPr>
          <w:rFonts w:ascii="Times New Roman" w:eastAsia="Times New Roman" w:hAnsi="Times New Roman" w:cs="Times New Roman"/>
        </w:rPr>
        <w:t>scholarship of teaching and learning.</w:t>
      </w:r>
    </w:p>
    <w:p w14:paraId="08E7E4DC" w14:textId="77777777" w:rsidR="00935112" w:rsidRDefault="00007B56">
      <w:pPr>
        <w:spacing w:line="240" w:lineRule="auto"/>
        <w:ind w:firstLine="720"/>
      </w:pPr>
      <w:r>
        <w:rPr>
          <w:rFonts w:ascii="Times New Roman" w:eastAsia="Times New Roman" w:hAnsi="Times New Roman" w:cs="Times New Roman"/>
        </w:rPr>
        <w:t>Bryant University has taken seriously the challenge to assume its role as an agent of change. The basis to foster this paradi</w:t>
      </w:r>
      <w:r w:rsidR="00875446">
        <w:rPr>
          <w:rFonts w:ascii="Times New Roman" w:eastAsia="Times New Roman" w:hAnsi="Times New Roman" w:cs="Times New Roman"/>
        </w:rPr>
        <w:t xml:space="preserve">gmatic shift is built into the </w:t>
      </w:r>
      <w:r>
        <w:rPr>
          <w:rFonts w:ascii="Times New Roman" w:eastAsia="Times New Roman" w:hAnsi="Times New Roman" w:cs="Times New Roman"/>
        </w:rPr>
        <w:t>institutional mission of the University</w:t>
      </w:r>
      <w:r w:rsidR="00441076">
        <w:rPr>
          <w:rFonts w:ascii="Times New Roman" w:eastAsia="Times New Roman" w:hAnsi="Times New Roman" w:cs="Times New Roman"/>
        </w:rPr>
        <w:t>,</w:t>
      </w:r>
      <w:r>
        <w:rPr>
          <w:rFonts w:ascii="Times New Roman" w:eastAsia="Times New Roman" w:hAnsi="Times New Roman" w:cs="Times New Roman"/>
        </w:rPr>
        <w:t xml:space="preserve"> and the vision for the future has been laid out in the strategic plan, </w:t>
      </w:r>
      <w:r>
        <w:rPr>
          <w:rFonts w:ascii="Times New Roman" w:eastAsia="Times New Roman" w:hAnsi="Times New Roman" w:cs="Times New Roman"/>
          <w:i/>
        </w:rPr>
        <w:t>Vision 2020</w:t>
      </w:r>
      <w:r w:rsidR="00D20875">
        <w:rPr>
          <w:rFonts w:ascii="Times New Roman" w:eastAsia="Times New Roman" w:hAnsi="Times New Roman" w:cs="Times New Roman"/>
          <w:i/>
        </w:rPr>
        <w:t>:</w:t>
      </w:r>
      <w:r>
        <w:rPr>
          <w:rFonts w:ascii="Times New Roman" w:eastAsia="Times New Roman" w:hAnsi="Times New Roman" w:cs="Times New Roman"/>
          <w:i/>
        </w:rPr>
        <w:t xml:space="preserve"> Expanding the World of Opportunity</w:t>
      </w:r>
      <w:r>
        <w:rPr>
          <w:rFonts w:ascii="Times New Roman" w:eastAsia="Times New Roman" w:hAnsi="Times New Roman" w:cs="Times New Roman"/>
        </w:rPr>
        <w:t xml:space="preserve">.  </w:t>
      </w:r>
      <w:r w:rsidR="00875446">
        <w:rPr>
          <w:rFonts w:ascii="Times New Roman" w:eastAsia="Times New Roman" w:hAnsi="Times New Roman" w:cs="Times New Roman"/>
        </w:rPr>
        <w:t>At Bryant, n</w:t>
      </w:r>
      <w:r>
        <w:rPr>
          <w:rFonts w:ascii="Times New Roman" w:eastAsia="Times New Roman" w:hAnsi="Times New Roman" w:cs="Times New Roman"/>
        </w:rPr>
        <w:t>umerous init</w:t>
      </w:r>
      <w:r w:rsidR="000D2ABB">
        <w:rPr>
          <w:rFonts w:ascii="Times New Roman" w:eastAsia="Times New Roman" w:hAnsi="Times New Roman" w:cs="Times New Roman"/>
        </w:rPr>
        <w:t>iatives now underway endorse a plan of action to</w:t>
      </w:r>
      <w:r>
        <w:rPr>
          <w:rFonts w:ascii="Times New Roman" w:eastAsia="Times New Roman" w:hAnsi="Times New Roman" w:cs="Times New Roman"/>
        </w:rPr>
        <w:t xml:space="preserve"> support academic excellence by assisting faculty in the creation and delivery of challenging academic programs.  No program better exemplifies a commitment to becoming a learning</w:t>
      </w:r>
      <w:r w:rsidR="00875446">
        <w:rPr>
          <w:rFonts w:ascii="Times New Roman" w:eastAsia="Times New Roman" w:hAnsi="Times New Roman" w:cs="Times New Roman"/>
        </w:rPr>
        <w:t xml:space="preserve">-centered institution than the </w:t>
      </w:r>
      <w:r>
        <w:rPr>
          <w:rFonts w:ascii="Times New Roman" w:eastAsia="Times New Roman" w:hAnsi="Times New Roman" w:cs="Times New Roman"/>
        </w:rPr>
        <w:t>First-Year Gateway Program initiative.</w:t>
      </w:r>
    </w:p>
    <w:p w14:paraId="43438983" w14:textId="77777777" w:rsidR="00935112" w:rsidRDefault="00007B56">
      <w:pPr>
        <w:spacing w:line="240" w:lineRule="auto"/>
        <w:ind w:firstLine="720"/>
      </w:pPr>
      <w:r>
        <w:rPr>
          <w:rFonts w:ascii="Times New Roman" w:eastAsia="Times New Roman" w:hAnsi="Times New Roman" w:cs="Times New Roman"/>
        </w:rPr>
        <w:lastRenderedPageBreak/>
        <w:t xml:space="preserve">As part of this initiative, the institution has intentionally utilized learning outcomes assessment data to inspire and inform its teaching and </w:t>
      </w:r>
      <w:r w:rsidR="00441076">
        <w:rPr>
          <w:rFonts w:ascii="Times New Roman" w:eastAsia="Times New Roman" w:hAnsi="Times New Roman" w:cs="Times New Roman"/>
        </w:rPr>
        <w:t xml:space="preserve">to </w:t>
      </w:r>
      <w:r>
        <w:rPr>
          <w:rFonts w:ascii="Times New Roman" w:eastAsia="Times New Roman" w:hAnsi="Times New Roman" w:cs="Times New Roman"/>
        </w:rPr>
        <w:t>develop a curriculum that cultivates professional skills and critical thinking as part of students’ educational experience.  Key to this undertaking is the institution’s focus on faculty develo</w:t>
      </w:r>
      <w:r w:rsidR="0010227F">
        <w:rPr>
          <w:rFonts w:ascii="Times New Roman" w:eastAsia="Times New Roman" w:hAnsi="Times New Roman" w:cs="Times New Roman"/>
        </w:rPr>
        <w:t>pment initiatives, and utilization of</w:t>
      </w:r>
      <w:r>
        <w:rPr>
          <w:rFonts w:ascii="Times New Roman" w:eastAsia="Times New Roman" w:hAnsi="Times New Roman" w:cs="Times New Roman"/>
        </w:rPr>
        <w:t xml:space="preserve"> assessment data to improve curricular design and student-learning outcomes. The result is an informed and responsive interdisciplinary thirteen credit first-year program designed to cultivate leadership and critical thinking, while fostering a successful transition into Bryant’s scholarly community.</w:t>
      </w:r>
    </w:p>
    <w:p w14:paraId="10FF4C45" w14:textId="77777777" w:rsidR="0067763D" w:rsidRDefault="00007B56">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To kick-start this curricular transformation, informed and inspired by research from The Carnegie Foundation for the Advancement of Teaching’s </w:t>
      </w:r>
      <w:r>
        <w:rPr>
          <w:rFonts w:ascii="Times New Roman" w:eastAsia="Times New Roman" w:hAnsi="Times New Roman" w:cs="Times New Roman"/>
          <w:i/>
        </w:rPr>
        <w:t>Rethinking Undergraduate Business Education</w:t>
      </w:r>
      <w:r w:rsidR="00F26E56" w:rsidRPr="00F26E56">
        <w:rPr>
          <w:rFonts w:ascii="Times New Roman" w:eastAsia="Times New Roman" w:hAnsi="Times New Roman" w:cs="Times New Roman"/>
        </w:rPr>
        <w:t>(Colby et al</w:t>
      </w:r>
      <w:r w:rsidR="00F26E56">
        <w:rPr>
          <w:rFonts w:ascii="Times New Roman" w:eastAsia="Times New Roman" w:hAnsi="Times New Roman" w:cs="Times New Roman"/>
        </w:rPr>
        <w:t>.</w:t>
      </w:r>
      <w:r w:rsidR="00F26E56" w:rsidRPr="00F26E56">
        <w:rPr>
          <w:rFonts w:ascii="Times New Roman" w:eastAsia="Times New Roman" w:hAnsi="Times New Roman" w:cs="Times New Roman"/>
        </w:rPr>
        <w:t>, 2011)</w:t>
      </w:r>
      <w:r w:rsidR="00292AFF">
        <w:rPr>
          <w:rFonts w:ascii="Times New Roman" w:eastAsia="Times New Roman" w:hAnsi="Times New Roman" w:cs="Times New Roman"/>
        </w:rPr>
        <w:t xml:space="preserve">, the </w:t>
      </w:r>
      <w:r>
        <w:rPr>
          <w:rFonts w:ascii="Times New Roman" w:eastAsia="Times New Roman" w:hAnsi="Times New Roman" w:cs="Times New Roman"/>
        </w:rPr>
        <w:t xml:space="preserve">Association of </w:t>
      </w:r>
      <w:r w:rsidR="00292AFF">
        <w:rPr>
          <w:rFonts w:ascii="Times New Roman" w:eastAsia="Times New Roman" w:hAnsi="Times New Roman" w:cs="Times New Roman"/>
        </w:rPr>
        <w:t xml:space="preserve">American </w:t>
      </w:r>
      <w:r>
        <w:rPr>
          <w:rFonts w:ascii="Times New Roman" w:eastAsia="Times New Roman" w:hAnsi="Times New Roman" w:cs="Times New Roman"/>
        </w:rPr>
        <w:t xml:space="preserve">Colleges &amp; Universities’ </w:t>
      </w:r>
      <w:r>
        <w:rPr>
          <w:rFonts w:ascii="Times New Roman" w:eastAsia="Times New Roman" w:hAnsi="Times New Roman" w:cs="Times New Roman"/>
          <w:i/>
        </w:rPr>
        <w:t>Liberal Education for America’s Promise</w:t>
      </w:r>
      <w:r w:rsidR="000C204E">
        <w:rPr>
          <w:rFonts w:ascii="Times New Roman" w:eastAsia="Times New Roman" w:hAnsi="Times New Roman" w:cs="Times New Roman"/>
          <w:i/>
        </w:rPr>
        <w:t xml:space="preserve"> </w:t>
      </w:r>
      <w:r w:rsidR="00A3439C">
        <w:rPr>
          <w:rFonts w:ascii="Times New Roman" w:eastAsia="Times New Roman" w:hAnsi="Times New Roman" w:cs="Times New Roman"/>
        </w:rPr>
        <w:t>(LEAP, 2011)</w:t>
      </w:r>
      <w:r>
        <w:rPr>
          <w:rFonts w:ascii="Times New Roman" w:eastAsia="Times New Roman" w:hAnsi="Times New Roman" w:cs="Times New Roman"/>
        </w:rPr>
        <w:t>, and the Wabash National Study</w:t>
      </w:r>
      <w:r w:rsidR="00D20875">
        <w:rPr>
          <w:rFonts w:ascii="Times New Roman" w:eastAsia="Times New Roman" w:hAnsi="Times New Roman" w:cs="Times New Roman"/>
        </w:rPr>
        <w:t xml:space="preserve"> (</w:t>
      </w:r>
      <w:proofErr w:type="spellStart"/>
      <w:r w:rsidR="00D20875">
        <w:rPr>
          <w:rFonts w:ascii="Times New Roman" w:eastAsia="Times New Roman" w:hAnsi="Times New Roman" w:cs="Times New Roman"/>
        </w:rPr>
        <w:t>Blaich</w:t>
      </w:r>
      <w:proofErr w:type="spellEnd"/>
      <w:r w:rsidR="000C204E">
        <w:rPr>
          <w:rFonts w:ascii="Times New Roman" w:eastAsia="Times New Roman" w:hAnsi="Times New Roman" w:cs="Times New Roman"/>
        </w:rPr>
        <w:t xml:space="preserve"> </w:t>
      </w:r>
      <w:r w:rsidR="00F96BF2">
        <w:rPr>
          <w:rFonts w:ascii="Times New Roman" w:eastAsia="Times New Roman" w:hAnsi="Times New Roman" w:cs="Times New Roman"/>
        </w:rPr>
        <w:t>&amp;</w:t>
      </w:r>
      <w:r w:rsidR="000C204E">
        <w:rPr>
          <w:rFonts w:ascii="Times New Roman" w:eastAsia="Times New Roman" w:hAnsi="Times New Roman" w:cs="Times New Roman"/>
        </w:rPr>
        <w:t xml:space="preserve"> </w:t>
      </w:r>
      <w:r w:rsidR="00F96BF2">
        <w:rPr>
          <w:rFonts w:ascii="Times New Roman" w:eastAsia="Times New Roman" w:hAnsi="Times New Roman" w:cs="Times New Roman"/>
        </w:rPr>
        <w:t>Pascarella, 2013)</w:t>
      </w:r>
      <w:r>
        <w:rPr>
          <w:rFonts w:ascii="Times New Roman" w:eastAsia="Times New Roman" w:hAnsi="Times New Roman" w:cs="Times New Roman"/>
        </w:rPr>
        <w:t>, a work group was cha</w:t>
      </w:r>
      <w:r w:rsidR="00875446">
        <w:rPr>
          <w:rFonts w:ascii="Times New Roman" w:eastAsia="Times New Roman" w:hAnsi="Times New Roman" w:cs="Times New Roman"/>
        </w:rPr>
        <w:t>rged with identifying</w:t>
      </w:r>
      <w:r>
        <w:rPr>
          <w:rFonts w:ascii="Times New Roman" w:eastAsia="Times New Roman" w:hAnsi="Times New Roman" w:cs="Times New Roman"/>
        </w:rPr>
        <w:t xml:space="preserve"> learning outcomes for each of the </w:t>
      </w:r>
      <w:r w:rsidR="0066365C">
        <w:rPr>
          <w:rFonts w:ascii="Times New Roman" w:eastAsia="Times New Roman" w:hAnsi="Times New Roman" w:cs="Times New Roman"/>
        </w:rPr>
        <w:t>potential First-Year Gateway courses</w:t>
      </w:r>
      <w:r w:rsidR="00D20875">
        <w:rPr>
          <w:rFonts w:ascii="Times New Roman" w:eastAsia="Times New Roman" w:hAnsi="Times New Roman" w:cs="Times New Roman"/>
        </w:rPr>
        <w:t>,</w:t>
      </w:r>
      <w:r w:rsidR="001D081D">
        <w:rPr>
          <w:rFonts w:ascii="Times New Roman" w:eastAsia="Times New Roman" w:hAnsi="Times New Roman" w:cs="Times New Roman"/>
        </w:rPr>
        <w:t xml:space="preserve"> keeping high-impact educ</w:t>
      </w:r>
      <w:r w:rsidR="00801397">
        <w:rPr>
          <w:rFonts w:ascii="Times New Roman" w:eastAsia="Times New Roman" w:hAnsi="Times New Roman" w:cs="Times New Roman"/>
        </w:rPr>
        <w:t>ational practices in mind (</w:t>
      </w:r>
      <w:proofErr w:type="spellStart"/>
      <w:r w:rsidR="00801397">
        <w:rPr>
          <w:rFonts w:ascii="Times New Roman" w:eastAsia="Times New Roman" w:hAnsi="Times New Roman" w:cs="Times New Roman"/>
        </w:rPr>
        <w:t>Kuh</w:t>
      </w:r>
      <w:proofErr w:type="spellEnd"/>
      <w:r w:rsidR="00D20875">
        <w:rPr>
          <w:rFonts w:ascii="Times New Roman" w:eastAsia="Times New Roman" w:hAnsi="Times New Roman" w:cs="Times New Roman"/>
        </w:rPr>
        <w:t xml:space="preserve"> &amp; Schneider</w:t>
      </w:r>
      <w:r w:rsidR="001D081D">
        <w:rPr>
          <w:rFonts w:ascii="Times New Roman" w:eastAsia="Times New Roman" w:hAnsi="Times New Roman" w:cs="Times New Roman"/>
        </w:rPr>
        <w:t>, 2008)</w:t>
      </w:r>
      <w:r w:rsidR="0066365C">
        <w:rPr>
          <w:rFonts w:ascii="Times New Roman" w:eastAsia="Times New Roman" w:hAnsi="Times New Roman" w:cs="Times New Roman"/>
        </w:rPr>
        <w:t>.</w:t>
      </w:r>
      <w:r>
        <w:rPr>
          <w:rFonts w:ascii="Times New Roman" w:eastAsia="Times New Roman" w:hAnsi="Times New Roman" w:cs="Times New Roman"/>
        </w:rPr>
        <w:t xml:space="preserve">Re-occurring themes around these outcomes led to conversations about creating a new comprehensive first-year experience, utilizing data to refine teaching and documenting student success.  </w:t>
      </w:r>
    </w:p>
    <w:p w14:paraId="2D1DB933" w14:textId="77777777" w:rsidR="0067763D" w:rsidRDefault="0067763D" w:rsidP="0067763D">
      <w:pPr>
        <w:spacing w:line="240" w:lineRule="auto"/>
        <w:ind w:firstLine="720"/>
      </w:pPr>
      <w:r>
        <w:rPr>
          <w:rFonts w:ascii="Times New Roman" w:eastAsia="Times New Roman" w:hAnsi="Times New Roman" w:cs="Times New Roman"/>
        </w:rPr>
        <w:t xml:space="preserve">In championing this important campus-wide initiative, the Vice President of Academic Affairs appointed representative stakeholders consisting of faculty from the College of Arts &amp; Sciences and the College of Business, staff from the Academic Center for Excellence, Center for Teaching and Learning, Office of Undergraduate Advising, </w:t>
      </w:r>
      <w:r w:rsidR="00D20875">
        <w:rPr>
          <w:rFonts w:ascii="Times New Roman" w:eastAsia="Times New Roman" w:hAnsi="Times New Roman" w:cs="Times New Roman"/>
        </w:rPr>
        <w:t xml:space="preserve">the Library, </w:t>
      </w:r>
      <w:r>
        <w:rPr>
          <w:rFonts w:ascii="Times New Roman" w:eastAsia="Times New Roman" w:hAnsi="Times New Roman" w:cs="Times New Roman"/>
        </w:rPr>
        <w:t xml:space="preserve">and Student Affairs. The work group </w:t>
      </w:r>
      <w:r w:rsidR="00E22DF1">
        <w:rPr>
          <w:rFonts w:ascii="Times New Roman" w:eastAsia="Times New Roman" w:hAnsi="Times New Roman" w:cs="Times New Roman"/>
        </w:rPr>
        <w:t xml:space="preserve">began meeting regularly in January of 2012 to determine core learning outcomes. Simultaneously, </w:t>
      </w:r>
      <w:r w:rsidR="00EA1237">
        <w:rPr>
          <w:rFonts w:ascii="Times New Roman" w:eastAsia="Times New Roman" w:hAnsi="Times New Roman" w:cs="Times New Roman"/>
        </w:rPr>
        <w:t xml:space="preserve">faculty committees were already meeting to explore the redesign of the Bryant’s general education program, which created an opportunity for the </w:t>
      </w:r>
      <w:r w:rsidR="00E22DF1">
        <w:rPr>
          <w:rFonts w:ascii="Times New Roman" w:eastAsia="Times New Roman" w:hAnsi="Times New Roman" w:cs="Times New Roman"/>
        </w:rPr>
        <w:t xml:space="preserve">faculty </w:t>
      </w:r>
      <w:r w:rsidR="00DB5BFC">
        <w:rPr>
          <w:rFonts w:ascii="Times New Roman" w:eastAsia="Times New Roman" w:hAnsi="Times New Roman" w:cs="Times New Roman"/>
        </w:rPr>
        <w:t xml:space="preserve">to </w:t>
      </w:r>
      <w:r w:rsidR="00E22DF1">
        <w:rPr>
          <w:rFonts w:ascii="Times New Roman" w:eastAsia="Times New Roman" w:hAnsi="Times New Roman" w:cs="Times New Roman"/>
        </w:rPr>
        <w:t>develop</w:t>
      </w:r>
      <w:r w:rsidR="000C204E">
        <w:rPr>
          <w:rFonts w:ascii="Times New Roman" w:eastAsia="Times New Roman" w:hAnsi="Times New Roman" w:cs="Times New Roman"/>
        </w:rPr>
        <w:t xml:space="preserve"> </w:t>
      </w:r>
      <w:r w:rsidR="00E22DF1">
        <w:rPr>
          <w:rFonts w:ascii="Times New Roman" w:eastAsia="Times New Roman" w:hAnsi="Times New Roman" w:cs="Times New Roman"/>
        </w:rPr>
        <w:t xml:space="preserve">new first-year courses built around </w:t>
      </w:r>
      <w:r w:rsidR="00EA1237">
        <w:rPr>
          <w:rFonts w:ascii="Times New Roman" w:eastAsia="Times New Roman" w:hAnsi="Times New Roman" w:cs="Times New Roman"/>
        </w:rPr>
        <w:t xml:space="preserve">core learning </w:t>
      </w:r>
      <w:r w:rsidR="00E22DF1">
        <w:rPr>
          <w:rFonts w:ascii="Times New Roman" w:eastAsia="Times New Roman" w:hAnsi="Times New Roman" w:cs="Times New Roman"/>
        </w:rPr>
        <w:t xml:space="preserve">outcomes. </w:t>
      </w:r>
    </w:p>
    <w:p w14:paraId="6856B3F7" w14:textId="77777777" w:rsidR="00935112" w:rsidRDefault="00007B56">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10227F">
        <w:rPr>
          <w:rFonts w:ascii="Times New Roman" w:eastAsia="Times New Roman" w:hAnsi="Times New Roman" w:cs="Times New Roman"/>
        </w:rPr>
        <w:t xml:space="preserve">following represents the </w:t>
      </w:r>
      <w:r w:rsidR="00E22DF1" w:rsidRPr="00C6598C">
        <w:rPr>
          <w:rFonts w:ascii="Times New Roman" w:eastAsia="Times New Roman" w:hAnsi="Times New Roman" w:cs="Times New Roman"/>
          <w:i/>
        </w:rPr>
        <w:t>required</w:t>
      </w:r>
      <w:r w:rsidR="00E22DF1">
        <w:rPr>
          <w:rFonts w:ascii="Times New Roman" w:eastAsia="Times New Roman" w:hAnsi="Times New Roman" w:cs="Times New Roman"/>
        </w:rPr>
        <w:t xml:space="preserve">, </w:t>
      </w:r>
      <w:r>
        <w:rPr>
          <w:rFonts w:ascii="Times New Roman" w:eastAsia="Times New Roman" w:hAnsi="Times New Roman" w:cs="Times New Roman"/>
        </w:rPr>
        <w:t>comprehensive thirteen credit first-year experience program with common learning</w:t>
      </w:r>
      <w:r w:rsidR="0010227F">
        <w:rPr>
          <w:rFonts w:ascii="Times New Roman" w:eastAsia="Times New Roman" w:hAnsi="Times New Roman" w:cs="Times New Roman"/>
        </w:rPr>
        <w:t xml:space="preserve"> outcomes across the curriculum:</w:t>
      </w:r>
    </w:p>
    <w:p w14:paraId="6142EDC9" w14:textId="77777777" w:rsidR="0067763D" w:rsidRDefault="0067763D">
      <w:pPr>
        <w:spacing w:line="240" w:lineRule="auto"/>
        <w:ind w:firstLine="720"/>
        <w:rPr>
          <w:rFonts w:ascii="Times New Roman" w:eastAsia="Times New Roman" w:hAnsi="Times New Roman" w:cs="Times New Roman"/>
        </w:rPr>
      </w:pPr>
    </w:p>
    <w:p w14:paraId="5FA916CD" w14:textId="77777777" w:rsidR="00935112" w:rsidRDefault="00007B56">
      <w:r>
        <w:rPr>
          <w:rFonts w:ascii="Times New Roman" w:eastAsia="Times New Roman" w:hAnsi="Times New Roman" w:cs="Times New Roman"/>
          <w:b/>
          <w:sz w:val="24"/>
        </w:rPr>
        <w:t>Program Design &amp; Learning Outcomes</w:t>
      </w:r>
    </w:p>
    <w:p w14:paraId="74DCAE0E" w14:textId="77777777" w:rsidR="00935112" w:rsidRDefault="00935112"/>
    <w:p w14:paraId="510E4B64" w14:textId="77777777" w:rsidR="00935112" w:rsidRDefault="00007B56">
      <w:pPr>
        <w:spacing w:line="240" w:lineRule="auto"/>
        <w:ind w:firstLine="720"/>
      </w:pPr>
      <w:r>
        <w:rPr>
          <w:rFonts w:ascii="Times New Roman" w:eastAsia="Times New Roman" w:hAnsi="Times New Roman" w:cs="Times New Roman"/>
        </w:rPr>
        <w:t>Launched in</w:t>
      </w:r>
      <w:r w:rsidR="00875446">
        <w:rPr>
          <w:rFonts w:ascii="Times New Roman" w:eastAsia="Times New Roman" w:hAnsi="Times New Roman" w:cs="Times New Roman"/>
        </w:rPr>
        <w:t xml:space="preserve"> the fall of 2012, the Gateway P</w:t>
      </w:r>
      <w:r w:rsidR="0066365C">
        <w:rPr>
          <w:rFonts w:ascii="Times New Roman" w:eastAsia="Times New Roman" w:hAnsi="Times New Roman" w:cs="Times New Roman"/>
        </w:rPr>
        <w:t>rogram welcomes Bryant’s</w:t>
      </w:r>
      <w:r>
        <w:rPr>
          <w:rFonts w:ascii="Times New Roman" w:eastAsia="Times New Roman" w:hAnsi="Times New Roman" w:cs="Times New Roman"/>
        </w:rPr>
        <w:t xml:space="preserve"> newest member</w:t>
      </w:r>
      <w:r w:rsidR="00875446">
        <w:rPr>
          <w:rFonts w:ascii="Times New Roman" w:eastAsia="Times New Roman" w:hAnsi="Times New Roman" w:cs="Times New Roman"/>
        </w:rPr>
        <w:t>s</w:t>
      </w:r>
      <w:r>
        <w:rPr>
          <w:rFonts w:ascii="Times New Roman" w:eastAsia="Times New Roman" w:hAnsi="Times New Roman" w:cs="Times New Roman"/>
        </w:rPr>
        <w:t xml:space="preserve"> to the community, sets a foundation for academic and personal success, and cultivates the qualities of character vital for leadership and for the health of a democratic society. The Gateway curriculum is built around fundamental questions about the role of the individual in a fast-p</w:t>
      </w:r>
      <w:r w:rsidR="00D20875">
        <w:rPr>
          <w:rFonts w:ascii="Times New Roman" w:eastAsia="Times New Roman" w:hAnsi="Times New Roman" w:cs="Times New Roman"/>
        </w:rPr>
        <w:t>aced, ever-changing world. F</w:t>
      </w:r>
      <w:r>
        <w:rPr>
          <w:rFonts w:ascii="Times New Roman" w:eastAsia="Times New Roman" w:hAnsi="Times New Roman" w:cs="Times New Roman"/>
        </w:rPr>
        <w:t>aculty and staff work with stu</w:t>
      </w:r>
      <w:r w:rsidR="00BA3132">
        <w:rPr>
          <w:rFonts w:ascii="Times New Roman" w:eastAsia="Times New Roman" w:hAnsi="Times New Roman" w:cs="Times New Roman"/>
        </w:rPr>
        <w:t xml:space="preserve">dents in the Gateway to foster </w:t>
      </w:r>
      <w:r w:rsidR="00E0610C">
        <w:rPr>
          <w:rFonts w:ascii="Times New Roman" w:eastAsia="Times New Roman" w:hAnsi="Times New Roman" w:cs="Times New Roman"/>
        </w:rPr>
        <w:t xml:space="preserve">the development of </w:t>
      </w:r>
      <w:r>
        <w:rPr>
          <w:rFonts w:ascii="Times New Roman" w:eastAsia="Times New Roman" w:hAnsi="Times New Roman" w:cs="Times New Roman"/>
        </w:rPr>
        <w:t>the habits and skills essential for success at Bryant and beyond. They do this by encouraging students to:</w:t>
      </w:r>
    </w:p>
    <w:p w14:paraId="2C6F225B" w14:textId="77777777" w:rsidR="00935112" w:rsidRPr="00FA613B" w:rsidRDefault="00007B56" w:rsidP="00FA613B">
      <w:pPr>
        <w:pStyle w:val="ListParagraph"/>
        <w:numPr>
          <w:ilvl w:val="0"/>
          <w:numId w:val="7"/>
        </w:numPr>
        <w:spacing w:line="240" w:lineRule="auto"/>
        <w:rPr>
          <w:rFonts w:ascii="Times New Roman" w:eastAsia="Times New Roman" w:hAnsi="Times New Roman" w:cs="Times New Roman"/>
        </w:rPr>
      </w:pPr>
      <w:r w:rsidRPr="00FA613B">
        <w:rPr>
          <w:rFonts w:ascii="Times New Roman" w:eastAsia="Times New Roman" w:hAnsi="Times New Roman" w:cs="Times New Roman"/>
        </w:rPr>
        <w:t>Draw meaningful connections between learning that takes place inside and outside of the classroom,</w:t>
      </w:r>
    </w:p>
    <w:p w14:paraId="3E85CD88" w14:textId="77777777" w:rsidR="00935112" w:rsidRPr="00FA613B" w:rsidRDefault="00007B56" w:rsidP="00FA613B">
      <w:pPr>
        <w:pStyle w:val="ListParagraph"/>
        <w:numPr>
          <w:ilvl w:val="0"/>
          <w:numId w:val="7"/>
        </w:numPr>
        <w:spacing w:line="240" w:lineRule="auto"/>
        <w:rPr>
          <w:rFonts w:ascii="Times New Roman" w:eastAsia="Times New Roman" w:hAnsi="Times New Roman" w:cs="Times New Roman"/>
        </w:rPr>
      </w:pPr>
      <w:r w:rsidRPr="00FA613B">
        <w:rPr>
          <w:rFonts w:ascii="Times New Roman" w:eastAsia="Times New Roman" w:hAnsi="Times New Roman" w:cs="Times New Roman"/>
        </w:rPr>
        <w:t>Apply knowledge and skills from multiple perspectives,</w:t>
      </w:r>
    </w:p>
    <w:p w14:paraId="2E2AB765" w14:textId="77777777" w:rsidR="00935112" w:rsidRPr="00FA613B" w:rsidRDefault="00007B56" w:rsidP="00FA613B">
      <w:pPr>
        <w:pStyle w:val="ListParagraph"/>
        <w:numPr>
          <w:ilvl w:val="0"/>
          <w:numId w:val="7"/>
        </w:numPr>
        <w:spacing w:line="240" w:lineRule="auto"/>
        <w:rPr>
          <w:rFonts w:ascii="Times New Roman" w:eastAsia="Times New Roman" w:hAnsi="Times New Roman" w:cs="Times New Roman"/>
        </w:rPr>
      </w:pPr>
      <w:r w:rsidRPr="00FA613B">
        <w:rPr>
          <w:rFonts w:ascii="Times New Roman" w:eastAsia="Times New Roman" w:hAnsi="Times New Roman" w:cs="Times New Roman"/>
        </w:rPr>
        <w:t>Communicate ideas effectively, and</w:t>
      </w:r>
    </w:p>
    <w:p w14:paraId="37CA6121" w14:textId="77777777" w:rsidR="00935112" w:rsidRPr="00FA613B" w:rsidRDefault="00007B56" w:rsidP="00FA613B">
      <w:pPr>
        <w:pStyle w:val="ListParagraph"/>
        <w:numPr>
          <w:ilvl w:val="0"/>
          <w:numId w:val="7"/>
        </w:numPr>
        <w:spacing w:line="240" w:lineRule="auto"/>
        <w:rPr>
          <w:rFonts w:ascii="Times New Roman" w:eastAsia="Times New Roman" w:hAnsi="Times New Roman" w:cs="Times New Roman"/>
        </w:rPr>
      </w:pPr>
      <w:r w:rsidRPr="00FA613B">
        <w:rPr>
          <w:rFonts w:ascii="Times New Roman" w:eastAsia="Times New Roman" w:hAnsi="Times New Roman" w:cs="Times New Roman"/>
        </w:rPr>
        <w:t>Reflect on learning experiences.</w:t>
      </w:r>
    </w:p>
    <w:p w14:paraId="69FCF4BF" w14:textId="77777777" w:rsidR="00935112" w:rsidRDefault="00007B56" w:rsidP="009C2A58">
      <w:pPr>
        <w:spacing w:line="240" w:lineRule="auto"/>
        <w:ind w:firstLine="720"/>
      </w:pPr>
      <w:r>
        <w:rPr>
          <w:rFonts w:ascii="Times New Roman" w:eastAsia="Times New Roman" w:hAnsi="Times New Roman" w:cs="Times New Roman"/>
        </w:rPr>
        <w:t>The Gateway Curriculum is co</w:t>
      </w:r>
      <w:r w:rsidR="00875446">
        <w:rPr>
          <w:rFonts w:ascii="Times New Roman" w:eastAsia="Times New Roman" w:hAnsi="Times New Roman" w:cs="Times New Roman"/>
        </w:rPr>
        <w:t>mprised of five major courses</w:t>
      </w:r>
      <w:r>
        <w:rPr>
          <w:rFonts w:ascii="Times New Roman" w:eastAsia="Times New Roman" w:hAnsi="Times New Roman" w:cs="Times New Roman"/>
        </w:rPr>
        <w:t>, each designed to cultivate key learning</w:t>
      </w:r>
      <w:r w:rsidR="00875446">
        <w:rPr>
          <w:rFonts w:ascii="Times New Roman" w:eastAsia="Times New Roman" w:hAnsi="Times New Roman" w:cs="Times New Roman"/>
        </w:rPr>
        <w:t xml:space="preserve"> outcomes. These </w:t>
      </w:r>
      <w:r>
        <w:rPr>
          <w:rFonts w:ascii="Times New Roman" w:eastAsia="Times New Roman" w:hAnsi="Times New Roman" w:cs="Times New Roman"/>
        </w:rPr>
        <w:t>include:</w:t>
      </w:r>
    </w:p>
    <w:p w14:paraId="28462159" w14:textId="77777777" w:rsidR="00935112" w:rsidRPr="00FA613B" w:rsidRDefault="00007B56" w:rsidP="00FA613B">
      <w:pPr>
        <w:pStyle w:val="ListParagraph"/>
        <w:numPr>
          <w:ilvl w:val="0"/>
          <w:numId w:val="8"/>
        </w:numPr>
        <w:spacing w:line="240" w:lineRule="auto"/>
        <w:rPr>
          <w:rFonts w:ascii="Times New Roman" w:eastAsia="Times New Roman" w:hAnsi="Times New Roman" w:cs="Times New Roman"/>
        </w:rPr>
      </w:pPr>
      <w:r w:rsidRPr="00FA613B">
        <w:rPr>
          <w:rFonts w:ascii="Times New Roman" w:eastAsia="Times New Roman" w:hAnsi="Times New Roman" w:cs="Times New Roman"/>
          <w:i/>
        </w:rPr>
        <w:t>Global Foundations of Character and Leadership</w:t>
      </w:r>
      <w:r w:rsidR="0010227F" w:rsidRPr="00FA613B">
        <w:rPr>
          <w:rFonts w:ascii="Times New Roman" w:eastAsia="Times New Roman" w:hAnsi="Times New Roman" w:cs="Times New Roman"/>
          <w:i/>
        </w:rPr>
        <w:t xml:space="preserve"> (GFCL-3 credits)</w:t>
      </w:r>
      <w:r w:rsidR="00F96402" w:rsidRPr="00FA613B">
        <w:rPr>
          <w:rFonts w:ascii="Times New Roman" w:eastAsia="Times New Roman" w:hAnsi="Times New Roman" w:cs="Times New Roman"/>
        </w:rPr>
        <w:t>: T</w:t>
      </w:r>
      <w:r w:rsidRPr="00FA613B">
        <w:rPr>
          <w:rFonts w:ascii="Times New Roman" w:eastAsia="Times New Roman" w:hAnsi="Times New Roman" w:cs="Times New Roman"/>
        </w:rPr>
        <w:t xml:space="preserve">he aim of this course is to pose fundamental questions about the place of the individual in society in the context of a swiftly changing global environment. To be </w:t>
      </w:r>
      <w:r w:rsidR="00875446" w:rsidRPr="00FA613B">
        <w:rPr>
          <w:rFonts w:ascii="Times New Roman" w:eastAsia="Times New Roman" w:hAnsi="Times New Roman" w:cs="Times New Roman"/>
        </w:rPr>
        <w:t>effective citizens in the 21</w:t>
      </w:r>
      <w:r w:rsidR="00875446" w:rsidRPr="00FA613B">
        <w:rPr>
          <w:rFonts w:ascii="Times New Roman" w:eastAsia="Times New Roman" w:hAnsi="Times New Roman" w:cs="Times New Roman"/>
          <w:vertAlign w:val="superscript"/>
        </w:rPr>
        <w:t>st</w:t>
      </w:r>
      <w:r w:rsidRPr="00FA613B">
        <w:rPr>
          <w:rFonts w:ascii="Times New Roman" w:eastAsia="Times New Roman" w:hAnsi="Times New Roman" w:cs="Times New Roman"/>
        </w:rPr>
        <w:t>century requires creative thinkers capable of examining complex contemporary problems in historical perspective with an understanding of diverse world-views and cultures. Students are asked to reexamine values and assumptions, and to develop the character and leadership skills required to make complex ethical decisions.</w:t>
      </w:r>
    </w:p>
    <w:p w14:paraId="257A24A2" w14:textId="77777777" w:rsidR="00935112" w:rsidRPr="00FA613B" w:rsidRDefault="00007B56" w:rsidP="00FA613B">
      <w:pPr>
        <w:pStyle w:val="ListParagraph"/>
        <w:numPr>
          <w:ilvl w:val="0"/>
          <w:numId w:val="8"/>
        </w:numPr>
        <w:spacing w:line="240" w:lineRule="auto"/>
        <w:rPr>
          <w:rFonts w:ascii="Times New Roman" w:eastAsia="Times New Roman" w:hAnsi="Times New Roman" w:cs="Times New Roman"/>
          <w:i/>
        </w:rPr>
      </w:pPr>
      <w:r w:rsidRPr="00FA613B">
        <w:rPr>
          <w:rFonts w:ascii="Times New Roman" w:eastAsia="Times New Roman" w:hAnsi="Times New Roman" w:cs="Times New Roman"/>
          <w:i/>
        </w:rPr>
        <w:t>Global Foundations of Organizations and Business</w:t>
      </w:r>
      <w:r w:rsidR="0010227F" w:rsidRPr="00FA613B">
        <w:rPr>
          <w:rFonts w:ascii="Times New Roman" w:eastAsia="Times New Roman" w:hAnsi="Times New Roman" w:cs="Times New Roman"/>
          <w:i/>
        </w:rPr>
        <w:t xml:space="preserve"> (GFOB-3 credits</w:t>
      </w:r>
      <w:proofErr w:type="gramStart"/>
      <w:r w:rsidR="0010227F" w:rsidRPr="00FA613B">
        <w:rPr>
          <w:rFonts w:ascii="Times New Roman" w:eastAsia="Times New Roman" w:hAnsi="Times New Roman" w:cs="Times New Roman"/>
          <w:i/>
        </w:rPr>
        <w:t>)</w:t>
      </w:r>
      <w:r w:rsidRPr="00FA613B">
        <w:rPr>
          <w:rFonts w:ascii="Times New Roman" w:eastAsia="Times New Roman" w:hAnsi="Times New Roman" w:cs="Times New Roman"/>
          <w:i/>
        </w:rPr>
        <w:t>:</w:t>
      </w:r>
      <w:r w:rsidRPr="00FA613B">
        <w:rPr>
          <w:rFonts w:ascii="Times New Roman" w:eastAsia="Times New Roman" w:hAnsi="Times New Roman" w:cs="Times New Roman"/>
        </w:rPr>
        <w:t>This</w:t>
      </w:r>
      <w:proofErr w:type="gramEnd"/>
      <w:r w:rsidRPr="00FA613B">
        <w:rPr>
          <w:rFonts w:ascii="Times New Roman" w:eastAsia="Times New Roman" w:hAnsi="Times New Roman" w:cs="Times New Roman"/>
        </w:rPr>
        <w:t xml:space="preserve"> course poses fundamental questions about the creation and ethical deployment of intellectual capital within the context of global enterprise. The transformation of the world economy has created the </w:t>
      </w:r>
      <w:r w:rsidRPr="00FA613B">
        <w:rPr>
          <w:rFonts w:ascii="Times New Roman" w:eastAsia="Times New Roman" w:hAnsi="Times New Roman" w:cs="Times New Roman"/>
        </w:rPr>
        <w:lastRenderedPageBreak/>
        <w:t>need for individuals with sophisticated skills, global perspective, expertise in multiple areas, and the ability to acquire new knowledge and skills needed to meet the challenges of continuously changing business conditions. Successful organizations rely on collaborative efforts to solve problems and implement initiatives. Such processes require individuals with a multi-disciplinary perspective and demonstrated skills in leaders</w:t>
      </w:r>
      <w:r w:rsidR="00793AB1" w:rsidRPr="00FA613B">
        <w:rPr>
          <w:rFonts w:ascii="Times New Roman" w:eastAsia="Times New Roman" w:hAnsi="Times New Roman" w:cs="Times New Roman"/>
        </w:rPr>
        <w:t>hip, negotiation, communication</w:t>
      </w:r>
      <w:r w:rsidRPr="00FA613B">
        <w:rPr>
          <w:rFonts w:ascii="Times New Roman" w:eastAsia="Times New Roman" w:hAnsi="Times New Roman" w:cs="Times New Roman"/>
        </w:rPr>
        <w:t>, and time management.</w:t>
      </w:r>
    </w:p>
    <w:p w14:paraId="59DC1166" w14:textId="77777777" w:rsidR="00935112" w:rsidRPr="00FA613B" w:rsidRDefault="00007B56" w:rsidP="00FA613B">
      <w:pPr>
        <w:pStyle w:val="ListParagraph"/>
        <w:numPr>
          <w:ilvl w:val="0"/>
          <w:numId w:val="8"/>
        </w:numPr>
        <w:spacing w:line="240" w:lineRule="auto"/>
        <w:rPr>
          <w:rFonts w:ascii="Times New Roman" w:eastAsia="Times New Roman" w:hAnsi="Times New Roman" w:cs="Times New Roman"/>
          <w:i/>
        </w:rPr>
      </w:pPr>
      <w:r w:rsidRPr="00FA613B">
        <w:rPr>
          <w:rFonts w:ascii="Times New Roman" w:eastAsia="Times New Roman" w:hAnsi="Times New Roman" w:cs="Times New Roman"/>
          <w:i/>
        </w:rPr>
        <w:t>Writing Workshop</w:t>
      </w:r>
      <w:r w:rsidR="009C2A58">
        <w:rPr>
          <w:rFonts w:ascii="Times New Roman" w:eastAsia="Times New Roman" w:hAnsi="Times New Roman" w:cs="Times New Roman"/>
          <w:i/>
        </w:rPr>
        <w:t xml:space="preserve"> (WRT 106-3 credits</w:t>
      </w:r>
      <w:r w:rsidR="0010227F" w:rsidRPr="00FA613B">
        <w:rPr>
          <w:rFonts w:ascii="Times New Roman" w:eastAsia="Times New Roman" w:hAnsi="Times New Roman" w:cs="Times New Roman"/>
          <w:i/>
        </w:rPr>
        <w:t>)</w:t>
      </w:r>
      <w:r w:rsidRPr="00FA613B">
        <w:rPr>
          <w:rFonts w:ascii="Times New Roman" w:eastAsia="Times New Roman" w:hAnsi="Times New Roman" w:cs="Times New Roman"/>
          <w:i/>
        </w:rPr>
        <w:t xml:space="preserve">: </w:t>
      </w:r>
      <w:r w:rsidRPr="00FA613B">
        <w:rPr>
          <w:rFonts w:ascii="Times New Roman" w:eastAsia="Times New Roman" w:hAnsi="Times New Roman" w:cs="Times New Roman"/>
        </w:rPr>
        <w:t>This course engages students with peers and their instructor as a collaborative of writers. Focusing on the practice of writing as a process, students become familiar with the conventions of specific rhetorical situations. Students develop transferable strategies for effectively accessing, interpreting, evaluating, and presenting information with an awareness of purpose and content. Along with fostering writing competencies and a capacity for inquiry and analysis, students reflect upon experiences as writers and participants in various learning communities. Students come to recognize writing as a value-laden ethical enterprise, a means of self-exploration, self-definition, and self-expression.</w:t>
      </w:r>
    </w:p>
    <w:p w14:paraId="6A9458E2" w14:textId="77777777" w:rsidR="00935112" w:rsidRPr="00FA613B" w:rsidRDefault="00007B56" w:rsidP="00FA613B">
      <w:pPr>
        <w:pStyle w:val="ListParagraph"/>
        <w:numPr>
          <w:ilvl w:val="0"/>
          <w:numId w:val="8"/>
        </w:numPr>
        <w:spacing w:line="240" w:lineRule="auto"/>
        <w:rPr>
          <w:rFonts w:ascii="Times New Roman" w:eastAsia="Times New Roman" w:hAnsi="Times New Roman" w:cs="Times New Roman"/>
          <w:i/>
        </w:rPr>
      </w:pPr>
      <w:r w:rsidRPr="00FA613B">
        <w:rPr>
          <w:rFonts w:ascii="Times New Roman" w:eastAsia="Times New Roman" w:hAnsi="Times New Roman" w:cs="Times New Roman"/>
          <w:i/>
        </w:rPr>
        <w:t xml:space="preserve">Introduction to </w:t>
      </w:r>
      <w:r w:rsidR="00793AB1" w:rsidRPr="00FA613B">
        <w:rPr>
          <w:rFonts w:ascii="Times New Roman" w:eastAsia="Times New Roman" w:hAnsi="Times New Roman" w:cs="Times New Roman"/>
          <w:i/>
        </w:rPr>
        <w:t>Literary Studies</w:t>
      </w:r>
      <w:r w:rsidR="0010227F" w:rsidRPr="00FA613B">
        <w:rPr>
          <w:rFonts w:ascii="Times New Roman" w:eastAsia="Times New Roman" w:hAnsi="Times New Roman" w:cs="Times New Roman"/>
          <w:i/>
        </w:rPr>
        <w:t xml:space="preserve"> (LCS 121-3 credits)</w:t>
      </w:r>
      <w:r w:rsidRPr="00FA613B">
        <w:rPr>
          <w:rFonts w:ascii="Times New Roman" w:eastAsia="Times New Roman" w:hAnsi="Times New Roman" w:cs="Times New Roman"/>
          <w:i/>
        </w:rPr>
        <w:t>:</w:t>
      </w:r>
      <w:r w:rsidR="007D37A8">
        <w:rPr>
          <w:rFonts w:ascii="Times New Roman" w:eastAsia="Times New Roman" w:hAnsi="Times New Roman" w:cs="Times New Roman"/>
          <w:i/>
        </w:rPr>
        <w:t xml:space="preserve"> </w:t>
      </w:r>
      <w:r w:rsidRPr="00FA613B">
        <w:rPr>
          <w:rFonts w:ascii="Times New Roman" w:eastAsia="Times New Roman" w:hAnsi="Times New Roman" w:cs="Times New Roman"/>
        </w:rPr>
        <w:t>Through intensive reading and writing about imaginative literature, students develop the skills necessary for literary analysis and effective writing. The aim of the course is to aid students in becoming discerning readers, critical thinkers, and thoughtful writers.</w:t>
      </w:r>
    </w:p>
    <w:p w14:paraId="5822C658" w14:textId="77777777" w:rsidR="00935112" w:rsidRPr="00FA613B" w:rsidRDefault="00007B56" w:rsidP="00FA613B">
      <w:pPr>
        <w:pStyle w:val="ListParagraph"/>
        <w:numPr>
          <w:ilvl w:val="0"/>
          <w:numId w:val="8"/>
        </w:numPr>
        <w:spacing w:line="240" w:lineRule="auto"/>
        <w:rPr>
          <w:rFonts w:ascii="Times New Roman" w:eastAsia="Times New Roman" w:hAnsi="Times New Roman" w:cs="Times New Roman"/>
          <w:i/>
        </w:rPr>
      </w:pPr>
      <w:r w:rsidRPr="00FA613B">
        <w:rPr>
          <w:rFonts w:ascii="Times New Roman" w:eastAsia="Times New Roman" w:hAnsi="Times New Roman" w:cs="Times New Roman"/>
          <w:i/>
        </w:rPr>
        <w:t>The Bryant I</w:t>
      </w:r>
      <w:r w:rsidR="00793AB1" w:rsidRPr="00FA613B">
        <w:rPr>
          <w:rFonts w:ascii="Times New Roman" w:eastAsia="Times New Roman" w:hAnsi="Times New Roman" w:cs="Times New Roman"/>
          <w:i/>
        </w:rPr>
        <w:t xml:space="preserve">nnovation and </w:t>
      </w:r>
      <w:r w:rsidRPr="00FA613B">
        <w:rPr>
          <w:rFonts w:ascii="Times New Roman" w:eastAsia="Times New Roman" w:hAnsi="Times New Roman" w:cs="Times New Roman"/>
          <w:i/>
        </w:rPr>
        <w:t>D</w:t>
      </w:r>
      <w:r w:rsidR="00793AB1" w:rsidRPr="00FA613B">
        <w:rPr>
          <w:rFonts w:ascii="Times New Roman" w:eastAsia="Times New Roman" w:hAnsi="Times New Roman" w:cs="Times New Roman"/>
          <w:i/>
        </w:rPr>
        <w:t xml:space="preserve">esign </w:t>
      </w:r>
      <w:r w:rsidRPr="00FA613B">
        <w:rPr>
          <w:rFonts w:ascii="Times New Roman" w:eastAsia="Times New Roman" w:hAnsi="Times New Roman" w:cs="Times New Roman"/>
          <w:i/>
        </w:rPr>
        <w:t>E</w:t>
      </w:r>
      <w:r w:rsidR="00793AB1" w:rsidRPr="00FA613B">
        <w:rPr>
          <w:rFonts w:ascii="Times New Roman" w:eastAsia="Times New Roman" w:hAnsi="Times New Roman" w:cs="Times New Roman"/>
          <w:i/>
        </w:rPr>
        <w:t xml:space="preserve">xperience for </w:t>
      </w:r>
      <w:r w:rsidRPr="00FA613B">
        <w:rPr>
          <w:rFonts w:ascii="Times New Roman" w:eastAsia="Times New Roman" w:hAnsi="Times New Roman" w:cs="Times New Roman"/>
          <w:i/>
        </w:rPr>
        <w:t>A</w:t>
      </w:r>
      <w:r w:rsidR="00793AB1" w:rsidRPr="00FA613B">
        <w:rPr>
          <w:rFonts w:ascii="Times New Roman" w:eastAsia="Times New Roman" w:hAnsi="Times New Roman" w:cs="Times New Roman"/>
          <w:i/>
        </w:rPr>
        <w:t>ll (IDEA)</w:t>
      </w:r>
      <w:r w:rsidR="0010227F" w:rsidRPr="00FA613B">
        <w:rPr>
          <w:rFonts w:ascii="Times New Roman" w:eastAsia="Times New Roman" w:hAnsi="Times New Roman" w:cs="Times New Roman"/>
          <w:i/>
        </w:rPr>
        <w:t xml:space="preserve"> (1credit)</w:t>
      </w:r>
      <w:r w:rsidRPr="00FA613B">
        <w:rPr>
          <w:rFonts w:ascii="Times New Roman" w:eastAsia="Times New Roman" w:hAnsi="Times New Roman" w:cs="Times New Roman"/>
          <w:i/>
        </w:rPr>
        <w:t>:</w:t>
      </w:r>
      <w:r w:rsidR="00793AB1" w:rsidRPr="00FA613B">
        <w:rPr>
          <w:rFonts w:ascii="Times New Roman" w:eastAsia="Times New Roman" w:hAnsi="Times New Roman" w:cs="Times New Roman"/>
        </w:rPr>
        <w:t xml:space="preserve"> This</w:t>
      </w:r>
      <w:r w:rsidRPr="00FA613B">
        <w:rPr>
          <w:rFonts w:ascii="Times New Roman" w:eastAsia="Times New Roman" w:hAnsi="Times New Roman" w:cs="Times New Roman"/>
        </w:rPr>
        <w:t xml:space="preserve"> intensive, experiential learning component of the Gateway curriculum provides students with a </w:t>
      </w:r>
      <w:r w:rsidR="00F96402" w:rsidRPr="00FA613B">
        <w:rPr>
          <w:rFonts w:ascii="Times New Roman" w:eastAsia="Times New Roman" w:hAnsi="Times New Roman" w:cs="Times New Roman"/>
        </w:rPr>
        <w:t xml:space="preserve">unique opportunity to apply </w:t>
      </w:r>
      <w:r w:rsidR="00793AB1" w:rsidRPr="00FA613B">
        <w:rPr>
          <w:rFonts w:ascii="Times New Roman" w:eastAsia="Times New Roman" w:hAnsi="Times New Roman" w:cs="Times New Roman"/>
        </w:rPr>
        <w:t xml:space="preserve">the </w:t>
      </w:r>
      <w:r w:rsidR="00F96402" w:rsidRPr="00FA613B">
        <w:rPr>
          <w:rFonts w:ascii="Times New Roman" w:eastAsia="Times New Roman" w:hAnsi="Times New Roman" w:cs="Times New Roman"/>
        </w:rPr>
        <w:t>five</w:t>
      </w:r>
      <w:r w:rsidRPr="00FA613B">
        <w:rPr>
          <w:rFonts w:ascii="Times New Roman" w:eastAsia="Times New Roman" w:hAnsi="Times New Roman" w:cs="Times New Roman"/>
        </w:rPr>
        <w:t xml:space="preserve"> learning outcomes, integrate perspectives, and foster team and leadership skills. For 72 hours at the start of the spring semester, students work in teams of five on a design challenge. The IDEA challenges students to demonstrate their learning about the innovation process. Specifically, the IDEA deepens students’ understanding of design thinking and teamwork.</w:t>
      </w:r>
    </w:p>
    <w:p w14:paraId="491FFB8E" w14:textId="77777777" w:rsidR="00935112" w:rsidRDefault="00935112"/>
    <w:p w14:paraId="6B024B67" w14:textId="77777777" w:rsidR="00935112" w:rsidRDefault="00007B56">
      <w:r>
        <w:rPr>
          <w:rFonts w:ascii="Times New Roman" w:eastAsia="Times New Roman" w:hAnsi="Times New Roman" w:cs="Times New Roman"/>
          <w:b/>
        </w:rPr>
        <w:t>Academic Outcomes</w:t>
      </w:r>
    </w:p>
    <w:p w14:paraId="52139FEF" w14:textId="77777777" w:rsidR="00935112" w:rsidRDefault="00007B56" w:rsidP="009C2A58">
      <w:pPr>
        <w:spacing w:line="240" w:lineRule="auto"/>
        <w:ind w:firstLine="720"/>
      </w:pPr>
      <w:r>
        <w:rPr>
          <w:rFonts w:ascii="Times New Roman" w:eastAsia="Times New Roman" w:hAnsi="Times New Roman" w:cs="Times New Roman"/>
        </w:rPr>
        <w:t>All of the Gateway curricular elements and learning experiences are designed to promote student growth and development on a set of core learning outcomes essential for success at Bryant and beyond. These learning outcomes include:</w:t>
      </w:r>
    </w:p>
    <w:p w14:paraId="55EB74DB" w14:textId="77777777" w:rsidR="00935112" w:rsidRPr="009C2A58" w:rsidRDefault="00007B56" w:rsidP="009C2A58">
      <w:pPr>
        <w:pStyle w:val="ListParagraph"/>
        <w:numPr>
          <w:ilvl w:val="0"/>
          <w:numId w:val="10"/>
        </w:numPr>
        <w:spacing w:line="240" w:lineRule="auto"/>
        <w:rPr>
          <w:rFonts w:ascii="Times New Roman" w:eastAsia="Times New Roman" w:hAnsi="Times New Roman" w:cs="Times New Roman"/>
        </w:rPr>
      </w:pPr>
      <w:r w:rsidRPr="009C2A58">
        <w:rPr>
          <w:rFonts w:ascii="Times New Roman" w:eastAsia="Times New Roman" w:hAnsi="Times New Roman" w:cs="Times New Roman"/>
          <w:i/>
        </w:rPr>
        <w:t>Effective written communication:</w:t>
      </w:r>
      <w:r w:rsidRPr="009C2A58">
        <w:rPr>
          <w:rFonts w:ascii="Times New Roman" w:eastAsia="Times New Roman" w:hAnsi="Times New Roman" w:cs="Times New Roman"/>
        </w:rPr>
        <w:t xml:space="preserve"> The development and expression of ideas in writing.</w:t>
      </w:r>
    </w:p>
    <w:p w14:paraId="44EED804" w14:textId="77777777" w:rsidR="00935112" w:rsidRPr="009C2A58" w:rsidRDefault="00007B56" w:rsidP="009C2A58">
      <w:pPr>
        <w:pStyle w:val="ListParagraph"/>
        <w:numPr>
          <w:ilvl w:val="0"/>
          <w:numId w:val="10"/>
        </w:numPr>
        <w:spacing w:line="240" w:lineRule="auto"/>
        <w:rPr>
          <w:rFonts w:ascii="Times New Roman" w:eastAsia="Times New Roman" w:hAnsi="Times New Roman" w:cs="Times New Roman"/>
          <w:i/>
        </w:rPr>
      </w:pPr>
      <w:r w:rsidRPr="009C2A58">
        <w:rPr>
          <w:rFonts w:ascii="Times New Roman" w:eastAsia="Times New Roman" w:hAnsi="Times New Roman" w:cs="Times New Roman"/>
          <w:i/>
        </w:rPr>
        <w:t xml:space="preserve">Effective oral communication: </w:t>
      </w:r>
      <w:r w:rsidR="00793AB1" w:rsidRPr="009C2A58">
        <w:rPr>
          <w:rFonts w:ascii="Times New Roman" w:eastAsia="Times New Roman" w:hAnsi="Times New Roman" w:cs="Times New Roman"/>
        </w:rPr>
        <w:t>D</w:t>
      </w:r>
      <w:r w:rsidRPr="009C2A58">
        <w:rPr>
          <w:rFonts w:ascii="Times New Roman" w:eastAsia="Times New Roman" w:hAnsi="Times New Roman" w:cs="Times New Roman"/>
        </w:rPr>
        <w:t>esigned to increase knowledge, to foster understanding, o</w:t>
      </w:r>
      <w:r w:rsidR="00F96402" w:rsidRPr="009C2A58">
        <w:rPr>
          <w:rFonts w:ascii="Times New Roman" w:eastAsia="Times New Roman" w:hAnsi="Times New Roman" w:cs="Times New Roman"/>
        </w:rPr>
        <w:t xml:space="preserve">r to </w:t>
      </w:r>
      <w:r w:rsidRPr="009C2A58">
        <w:rPr>
          <w:rFonts w:ascii="Times New Roman" w:eastAsia="Times New Roman" w:hAnsi="Times New Roman" w:cs="Times New Roman"/>
        </w:rPr>
        <w:t>promote change in the listeners’ attitudes</w:t>
      </w:r>
      <w:r w:rsidR="00793AB1" w:rsidRPr="009C2A58">
        <w:rPr>
          <w:rFonts w:ascii="Times New Roman" w:eastAsia="Times New Roman" w:hAnsi="Times New Roman" w:cs="Times New Roman"/>
        </w:rPr>
        <w:t>,</w:t>
      </w:r>
      <w:r w:rsidRPr="009C2A58">
        <w:rPr>
          <w:rFonts w:ascii="Times New Roman" w:eastAsia="Times New Roman" w:hAnsi="Times New Roman" w:cs="Times New Roman"/>
        </w:rPr>
        <w:t xml:space="preserve"> values, beliefs, or behaviors.</w:t>
      </w:r>
    </w:p>
    <w:p w14:paraId="19E1DEDB" w14:textId="77777777" w:rsidR="00935112" w:rsidRPr="009C2A58" w:rsidRDefault="00007B56" w:rsidP="009C2A58">
      <w:pPr>
        <w:pStyle w:val="ListParagraph"/>
        <w:numPr>
          <w:ilvl w:val="0"/>
          <w:numId w:val="10"/>
        </w:numPr>
        <w:spacing w:line="240" w:lineRule="auto"/>
        <w:rPr>
          <w:rFonts w:ascii="Times New Roman" w:eastAsia="Times New Roman" w:hAnsi="Times New Roman" w:cs="Times New Roman"/>
          <w:i/>
        </w:rPr>
      </w:pPr>
      <w:r w:rsidRPr="009C2A58">
        <w:rPr>
          <w:rFonts w:ascii="Times New Roman" w:eastAsia="Times New Roman" w:hAnsi="Times New Roman" w:cs="Times New Roman"/>
          <w:i/>
        </w:rPr>
        <w:t>Critical thinking:</w:t>
      </w:r>
      <w:r w:rsidRPr="009C2A58">
        <w:rPr>
          <w:rFonts w:ascii="Times New Roman" w:eastAsia="Times New Roman" w:hAnsi="Times New Roman" w:cs="Times New Roman"/>
        </w:rPr>
        <w:t xml:space="preserve"> The habit of mind characterized by the comprehensive exploration of issues, ideas, artifacts, and events before accepting or formulating an opinion or conclusion.</w:t>
      </w:r>
    </w:p>
    <w:p w14:paraId="092F4364" w14:textId="77777777" w:rsidR="00935112" w:rsidRPr="009C2A58" w:rsidRDefault="00007B56" w:rsidP="009C2A58">
      <w:pPr>
        <w:pStyle w:val="ListParagraph"/>
        <w:numPr>
          <w:ilvl w:val="0"/>
          <w:numId w:val="10"/>
        </w:numPr>
        <w:spacing w:line="240" w:lineRule="auto"/>
        <w:rPr>
          <w:rFonts w:ascii="Times New Roman" w:eastAsia="Times New Roman" w:hAnsi="Times New Roman" w:cs="Times New Roman"/>
          <w:i/>
        </w:rPr>
      </w:pPr>
      <w:r w:rsidRPr="009C2A58">
        <w:rPr>
          <w:rFonts w:ascii="Times New Roman" w:eastAsia="Times New Roman" w:hAnsi="Times New Roman" w:cs="Times New Roman"/>
          <w:i/>
        </w:rPr>
        <w:t xml:space="preserve">Ethical reasoning: </w:t>
      </w:r>
      <w:r w:rsidRPr="009C2A58">
        <w:rPr>
          <w:rFonts w:ascii="Times New Roman" w:eastAsia="Times New Roman" w:hAnsi="Times New Roman" w:cs="Times New Roman"/>
        </w:rPr>
        <w:t>The ability to assess one’s own values and social context of problems, recognize ethical issues in a variety of settings, think about how different ethical perspectives might be applied to ethical dilemmas and consider the ramifications of alternative actions.</w:t>
      </w:r>
    </w:p>
    <w:p w14:paraId="7538FFE8" w14:textId="77777777" w:rsidR="00935112" w:rsidRPr="009C2A58" w:rsidRDefault="00007B56" w:rsidP="009C2A58">
      <w:pPr>
        <w:pStyle w:val="ListParagraph"/>
        <w:numPr>
          <w:ilvl w:val="0"/>
          <w:numId w:val="10"/>
        </w:numPr>
        <w:spacing w:line="240" w:lineRule="auto"/>
        <w:rPr>
          <w:rFonts w:ascii="Times New Roman" w:eastAsia="Times New Roman" w:hAnsi="Times New Roman" w:cs="Times New Roman"/>
          <w:i/>
        </w:rPr>
      </w:pPr>
      <w:r w:rsidRPr="009C2A58">
        <w:rPr>
          <w:rFonts w:ascii="Times New Roman" w:eastAsia="Times New Roman" w:hAnsi="Times New Roman" w:cs="Times New Roman"/>
          <w:i/>
        </w:rPr>
        <w:t xml:space="preserve">Diversity awareness: </w:t>
      </w:r>
      <w:r w:rsidRPr="009C2A58">
        <w:rPr>
          <w:rFonts w:ascii="Times New Roman" w:eastAsia="Times New Roman" w:hAnsi="Times New Roman" w:cs="Times New Roman"/>
        </w:rPr>
        <w:t>Possessing the cognitive, affective, and behavioral skills and characteristics that support effective and appropriate interactions in a variety of cultural contexts.</w:t>
      </w:r>
    </w:p>
    <w:p w14:paraId="26BE6A68" w14:textId="77777777" w:rsidR="00935112" w:rsidRPr="009C2A58" w:rsidRDefault="00007B56" w:rsidP="009C2A58">
      <w:pPr>
        <w:pStyle w:val="ListParagraph"/>
        <w:numPr>
          <w:ilvl w:val="0"/>
          <w:numId w:val="10"/>
        </w:numPr>
        <w:spacing w:line="240" w:lineRule="auto"/>
        <w:rPr>
          <w:rFonts w:ascii="Times New Roman" w:eastAsia="Times New Roman" w:hAnsi="Times New Roman" w:cs="Times New Roman"/>
          <w:i/>
        </w:rPr>
      </w:pPr>
      <w:r w:rsidRPr="009C2A58">
        <w:rPr>
          <w:rFonts w:ascii="Times New Roman" w:eastAsia="Times New Roman" w:hAnsi="Times New Roman" w:cs="Times New Roman"/>
          <w:i/>
        </w:rPr>
        <w:t xml:space="preserve">Information literacy: </w:t>
      </w:r>
      <w:r w:rsidRPr="009C2A58">
        <w:rPr>
          <w:rFonts w:ascii="Times New Roman" w:eastAsia="Times New Roman" w:hAnsi="Times New Roman" w:cs="Times New Roman"/>
        </w:rPr>
        <w:t xml:space="preserve">The ability to know when there is a need for information, </w:t>
      </w:r>
      <w:r w:rsidR="00F96402" w:rsidRPr="009C2A58">
        <w:rPr>
          <w:rFonts w:ascii="Times New Roman" w:eastAsia="Times New Roman" w:hAnsi="Times New Roman" w:cs="Times New Roman"/>
        </w:rPr>
        <w:t xml:space="preserve">and </w:t>
      </w:r>
      <w:r w:rsidRPr="009C2A58">
        <w:rPr>
          <w:rFonts w:ascii="Times New Roman" w:eastAsia="Times New Roman" w:hAnsi="Times New Roman" w:cs="Times New Roman"/>
        </w:rPr>
        <w:t xml:space="preserve">to be able to identify, locate, evaluate, and </w:t>
      </w:r>
      <w:r w:rsidR="00F96402" w:rsidRPr="009C2A58">
        <w:rPr>
          <w:rFonts w:ascii="Times New Roman" w:eastAsia="Times New Roman" w:hAnsi="Times New Roman" w:cs="Times New Roman"/>
        </w:rPr>
        <w:t xml:space="preserve">both </w:t>
      </w:r>
      <w:r w:rsidRPr="009C2A58">
        <w:rPr>
          <w:rFonts w:ascii="Times New Roman" w:eastAsia="Times New Roman" w:hAnsi="Times New Roman" w:cs="Times New Roman"/>
        </w:rPr>
        <w:t>effectively</w:t>
      </w:r>
      <w:r w:rsidR="00F96402" w:rsidRPr="009C2A58">
        <w:rPr>
          <w:rFonts w:ascii="Times New Roman" w:eastAsia="Times New Roman" w:hAnsi="Times New Roman" w:cs="Times New Roman"/>
        </w:rPr>
        <w:t xml:space="preserve"> and </w:t>
      </w:r>
      <w:r w:rsidRPr="009C2A58">
        <w:rPr>
          <w:rFonts w:ascii="Times New Roman" w:eastAsia="Times New Roman" w:hAnsi="Times New Roman" w:cs="Times New Roman"/>
        </w:rPr>
        <w:t>responsibly use and share that information for the problem at hand.</w:t>
      </w:r>
    </w:p>
    <w:p w14:paraId="7204ECD2" w14:textId="77777777" w:rsidR="00935112" w:rsidRDefault="00007B56">
      <w:pPr>
        <w:spacing w:after="200" w:line="240" w:lineRule="auto"/>
        <w:ind w:firstLine="720"/>
      </w:pPr>
      <w:r>
        <w:rPr>
          <w:rFonts w:ascii="Times New Roman" w:eastAsia="Times New Roman" w:hAnsi="Times New Roman" w:cs="Times New Roman"/>
        </w:rPr>
        <w:t xml:space="preserve">These outcomes represent a subset of </w:t>
      </w:r>
      <w:r w:rsidR="00E0610C">
        <w:rPr>
          <w:rFonts w:ascii="Times New Roman" w:eastAsia="Times New Roman" w:hAnsi="Times New Roman" w:cs="Times New Roman"/>
        </w:rPr>
        <w:t xml:space="preserve">those advocated by the </w:t>
      </w:r>
      <w:r>
        <w:rPr>
          <w:rFonts w:ascii="Times New Roman" w:eastAsia="Times New Roman" w:hAnsi="Times New Roman" w:cs="Times New Roman"/>
        </w:rPr>
        <w:t xml:space="preserve">Association of </w:t>
      </w:r>
      <w:r w:rsidR="00E0610C">
        <w:rPr>
          <w:rFonts w:ascii="Times New Roman" w:eastAsia="Times New Roman" w:hAnsi="Times New Roman" w:cs="Times New Roman"/>
        </w:rPr>
        <w:t xml:space="preserve">American </w:t>
      </w:r>
      <w:r>
        <w:rPr>
          <w:rFonts w:ascii="Times New Roman" w:eastAsia="Times New Roman" w:hAnsi="Times New Roman" w:cs="Times New Roman"/>
        </w:rPr>
        <w:t>Colleges &amp; Universities (AAC&amp;U). The outcomes</w:t>
      </w:r>
      <w:r w:rsidR="00793AB1">
        <w:rPr>
          <w:rFonts w:ascii="Times New Roman" w:eastAsia="Times New Roman" w:hAnsi="Times New Roman" w:cs="Times New Roman"/>
        </w:rPr>
        <w:t xml:space="preserve"> also</w:t>
      </w:r>
      <w:r>
        <w:rPr>
          <w:rFonts w:ascii="Times New Roman" w:eastAsia="Times New Roman" w:hAnsi="Times New Roman" w:cs="Times New Roman"/>
        </w:rPr>
        <w:t xml:space="preserve"> reflect the expressed desires of employers for</w:t>
      </w:r>
      <w:r w:rsidR="004E1091">
        <w:rPr>
          <w:rFonts w:ascii="Times New Roman" w:eastAsia="Times New Roman" w:hAnsi="Times New Roman" w:cs="Times New Roman"/>
        </w:rPr>
        <w:t xml:space="preserve"> </w:t>
      </w:r>
      <w:r>
        <w:rPr>
          <w:rFonts w:ascii="Times New Roman" w:eastAsia="Times New Roman" w:hAnsi="Times New Roman" w:cs="Times New Roman"/>
        </w:rPr>
        <w:t>the skill sets and habit</w:t>
      </w:r>
      <w:r w:rsidR="004E026B">
        <w:rPr>
          <w:rFonts w:ascii="Times New Roman" w:eastAsia="Times New Roman" w:hAnsi="Times New Roman" w:cs="Times New Roman"/>
        </w:rPr>
        <w:t>s of mi</w:t>
      </w:r>
      <w:r w:rsidR="00EC77BD">
        <w:rPr>
          <w:rFonts w:ascii="Times New Roman" w:eastAsia="Times New Roman" w:hAnsi="Times New Roman" w:cs="Times New Roman"/>
        </w:rPr>
        <w:t xml:space="preserve">nd they find most important in </w:t>
      </w:r>
      <w:r>
        <w:rPr>
          <w:rFonts w:ascii="Times New Roman" w:eastAsia="Times New Roman" w:hAnsi="Times New Roman" w:cs="Times New Roman"/>
        </w:rPr>
        <w:t xml:space="preserve">college graduates. An AAC&amp;U survey on employer priorities suggests that nearly all those surveyed say that “a demonstrated capacity to think critically, communicate clearly, and solve complex problems is more important than [a candidate’s] undergraduate </w:t>
      </w:r>
      <w:r>
        <w:rPr>
          <w:rFonts w:ascii="Times New Roman" w:eastAsia="Times New Roman" w:hAnsi="Times New Roman" w:cs="Times New Roman"/>
        </w:rPr>
        <w:lastRenderedPageBreak/>
        <w:t xml:space="preserve">major.” More than 9 in 10 of those surveyed say it is important that those they hire demonstrate ethical judgment and integrity; intercultural skills; and the capacity for continued new learning. In addition, more than 75% of employers </w:t>
      </w:r>
      <w:r w:rsidR="00EC77BD">
        <w:rPr>
          <w:rFonts w:ascii="Times New Roman" w:eastAsia="Times New Roman" w:hAnsi="Times New Roman" w:cs="Times New Roman"/>
        </w:rPr>
        <w:t>say they want more emphasis on five</w:t>
      </w:r>
      <w:r>
        <w:rPr>
          <w:rFonts w:ascii="Times New Roman" w:eastAsia="Times New Roman" w:hAnsi="Times New Roman" w:cs="Times New Roman"/>
        </w:rPr>
        <w:t xml:space="preserve"> key areas including: critical thinking, complex problem-solving, written and oral communication, and applied knowled</w:t>
      </w:r>
      <w:r w:rsidR="005E6AB5">
        <w:rPr>
          <w:rFonts w:ascii="Times New Roman" w:eastAsia="Times New Roman" w:hAnsi="Times New Roman" w:cs="Times New Roman"/>
        </w:rPr>
        <w:t>ge in real-world settings (Hart &amp; Associates</w:t>
      </w:r>
      <w:r>
        <w:rPr>
          <w:rFonts w:ascii="Times New Roman" w:eastAsia="Times New Roman" w:hAnsi="Times New Roman" w:cs="Times New Roman"/>
        </w:rPr>
        <w:t>, 2013).</w:t>
      </w:r>
    </w:p>
    <w:p w14:paraId="41FE3AB6" w14:textId="77777777" w:rsidR="00935112" w:rsidRPr="004E026B" w:rsidRDefault="00007B56">
      <w:pPr>
        <w:rPr>
          <w:szCs w:val="22"/>
        </w:rPr>
      </w:pPr>
      <w:r w:rsidRPr="004E026B">
        <w:rPr>
          <w:rFonts w:ascii="Times New Roman" w:eastAsia="Times New Roman" w:hAnsi="Times New Roman" w:cs="Times New Roman"/>
          <w:b/>
          <w:szCs w:val="22"/>
        </w:rPr>
        <w:t>Student Success Outcomes</w:t>
      </w:r>
    </w:p>
    <w:p w14:paraId="511F2CDC" w14:textId="77777777" w:rsidR="00935112" w:rsidRDefault="00007B56" w:rsidP="004E026B">
      <w:pPr>
        <w:spacing w:line="240" w:lineRule="auto"/>
        <w:ind w:firstLine="720"/>
      </w:pPr>
      <w:r>
        <w:rPr>
          <w:rFonts w:ascii="Times New Roman" w:eastAsia="Times New Roman" w:hAnsi="Times New Roman" w:cs="Times New Roman"/>
        </w:rPr>
        <w:t>Bryant University’s student success program has existed for nearly twenty years, beginning with a non-credit extended orientation program and developing into a one-credit seminar course entitled Foundations for Learning (FFL 101), which was mandatory for all first-year student</w:t>
      </w:r>
      <w:r w:rsidR="00240560">
        <w:rPr>
          <w:rFonts w:ascii="Times New Roman" w:eastAsia="Times New Roman" w:hAnsi="Times New Roman" w:cs="Times New Roman"/>
        </w:rPr>
        <w:t>s</w:t>
      </w:r>
      <w:r>
        <w:rPr>
          <w:rFonts w:ascii="Times New Roman" w:eastAsia="Times New Roman" w:hAnsi="Times New Roman" w:cs="Times New Roman"/>
        </w:rPr>
        <w:t>. In the spring of 2012, Fou</w:t>
      </w:r>
      <w:r w:rsidR="00F96402">
        <w:rPr>
          <w:rFonts w:ascii="Times New Roman" w:eastAsia="Times New Roman" w:hAnsi="Times New Roman" w:cs="Times New Roman"/>
        </w:rPr>
        <w:t>ndations for Learning (FFL 101)</w:t>
      </w:r>
      <w:r>
        <w:rPr>
          <w:rFonts w:ascii="Times New Roman" w:eastAsia="Times New Roman" w:hAnsi="Times New Roman" w:cs="Times New Roman"/>
        </w:rPr>
        <w:t xml:space="preserve"> was eliminated as a result of institutional curriculum revisions and the development of the new model, the First-Year Gateway Experience.  Cons</w:t>
      </w:r>
      <w:r w:rsidR="004E026B">
        <w:rPr>
          <w:rFonts w:ascii="Times New Roman" w:eastAsia="Times New Roman" w:hAnsi="Times New Roman" w:cs="Times New Roman"/>
        </w:rPr>
        <w:t>equently, in the fall of 2012, student s</w:t>
      </w:r>
      <w:r>
        <w:rPr>
          <w:rFonts w:ascii="Times New Roman" w:eastAsia="Times New Roman" w:hAnsi="Times New Roman" w:cs="Times New Roman"/>
        </w:rPr>
        <w:t>uccess outcomes were revised to align wi</w:t>
      </w:r>
      <w:r w:rsidR="004E026B">
        <w:rPr>
          <w:rFonts w:ascii="Times New Roman" w:eastAsia="Times New Roman" w:hAnsi="Times New Roman" w:cs="Times New Roman"/>
        </w:rPr>
        <w:t>th the Gateway curricular goals.</w:t>
      </w:r>
    </w:p>
    <w:p w14:paraId="3408DE79" w14:textId="77777777" w:rsidR="00935112" w:rsidRDefault="00007B56" w:rsidP="009C2A58">
      <w:pPr>
        <w:spacing w:line="240" w:lineRule="auto"/>
        <w:ind w:firstLine="720"/>
      </w:pPr>
      <w:r>
        <w:rPr>
          <w:rFonts w:ascii="Times New Roman" w:eastAsia="Times New Roman" w:hAnsi="Times New Roman" w:cs="Times New Roman"/>
        </w:rPr>
        <w:t>Student success programming in the First-Year Gateway Experience is designed to transition students into a scholarly community by fostering their intellectual, academic, social, and emotional adjustment. Integrated success instruction and programming enables students to demonstrate:</w:t>
      </w:r>
    </w:p>
    <w:p w14:paraId="534B86AC" w14:textId="77777777" w:rsidR="00935112" w:rsidRPr="009C2A58" w:rsidRDefault="00007B56" w:rsidP="009C2A58">
      <w:pPr>
        <w:pStyle w:val="ListParagraph"/>
        <w:numPr>
          <w:ilvl w:val="0"/>
          <w:numId w:val="9"/>
        </w:numPr>
        <w:spacing w:line="240" w:lineRule="auto"/>
        <w:rPr>
          <w:rFonts w:ascii="Times New Roman" w:eastAsia="Times New Roman" w:hAnsi="Times New Roman" w:cs="Times New Roman"/>
        </w:rPr>
      </w:pPr>
      <w:r w:rsidRPr="009C2A58">
        <w:rPr>
          <w:rFonts w:ascii="Times New Roman" w:eastAsia="Times New Roman" w:hAnsi="Times New Roman" w:cs="Times New Roman"/>
        </w:rPr>
        <w:t>An understanding of the self in the scholarly community.</w:t>
      </w:r>
    </w:p>
    <w:p w14:paraId="137A4F9A" w14:textId="77777777" w:rsidR="009E2A27" w:rsidRPr="009C2A58" w:rsidRDefault="00007B56" w:rsidP="009C2A58">
      <w:pPr>
        <w:pStyle w:val="ListParagraph"/>
        <w:numPr>
          <w:ilvl w:val="0"/>
          <w:numId w:val="9"/>
        </w:numPr>
        <w:spacing w:line="240" w:lineRule="auto"/>
        <w:rPr>
          <w:rFonts w:ascii="Times New Roman" w:eastAsia="Times New Roman" w:hAnsi="Times New Roman" w:cs="Times New Roman"/>
        </w:rPr>
      </w:pPr>
      <w:r w:rsidRPr="009C2A58">
        <w:rPr>
          <w:rFonts w:ascii="Times New Roman" w:eastAsia="Times New Roman" w:hAnsi="Times New Roman" w:cs="Times New Roman"/>
        </w:rPr>
        <w:t>Engagement in scholarly activities such as group discussion, conducting research, and synthesizing materials, thereby illustrating a growing awareness of the importance of active involvement in the educational process.</w:t>
      </w:r>
    </w:p>
    <w:p w14:paraId="564C75A0" w14:textId="77777777" w:rsidR="00935112" w:rsidRPr="009C2A58" w:rsidRDefault="00007B56" w:rsidP="009C2A58">
      <w:pPr>
        <w:pStyle w:val="ListParagraph"/>
        <w:numPr>
          <w:ilvl w:val="0"/>
          <w:numId w:val="9"/>
        </w:numPr>
        <w:spacing w:line="240" w:lineRule="auto"/>
        <w:rPr>
          <w:rFonts w:ascii="Times New Roman" w:eastAsia="Times New Roman" w:hAnsi="Times New Roman" w:cs="Times New Roman"/>
        </w:rPr>
      </w:pPr>
      <w:r w:rsidRPr="009C2A58">
        <w:rPr>
          <w:rFonts w:ascii="Times New Roman" w:eastAsia="Times New Roman" w:hAnsi="Times New Roman" w:cs="Times New Roman"/>
        </w:rPr>
        <w:t>The ability to plan and prioritize academic and student life activities to promote success inside and outside of the classroom.</w:t>
      </w:r>
    </w:p>
    <w:p w14:paraId="4E495B2F" w14:textId="77777777" w:rsidR="00935112" w:rsidRPr="009C2A58" w:rsidRDefault="00007B56" w:rsidP="009C2A58">
      <w:pPr>
        <w:pStyle w:val="ListParagraph"/>
        <w:numPr>
          <w:ilvl w:val="0"/>
          <w:numId w:val="9"/>
        </w:numPr>
        <w:spacing w:line="240" w:lineRule="auto"/>
        <w:rPr>
          <w:rFonts w:ascii="Times New Roman" w:eastAsia="Times New Roman" w:hAnsi="Times New Roman" w:cs="Times New Roman"/>
        </w:rPr>
      </w:pPr>
      <w:r w:rsidRPr="009C2A58">
        <w:rPr>
          <w:rFonts w:ascii="Times New Roman" w:eastAsia="Times New Roman" w:hAnsi="Times New Roman" w:cs="Times New Roman"/>
        </w:rPr>
        <w:t>Development of cognitive and metacognitive abilities, including those skills involved in the self-regulation of learning and developing a fuller understanding of a range of learning and study strategies.</w:t>
      </w:r>
    </w:p>
    <w:p w14:paraId="6F3BEEAA" w14:textId="77777777" w:rsidR="00935112" w:rsidRPr="00834718" w:rsidRDefault="00007B56" w:rsidP="001A6EFD">
      <w:pPr>
        <w:spacing w:line="240" w:lineRule="auto"/>
        <w:ind w:firstLine="720"/>
        <w:rPr>
          <w:rFonts w:ascii="Times New Roman" w:hAnsi="Times New Roman" w:cs="Times New Roman"/>
          <w:color w:val="000000" w:themeColor="text1"/>
          <w:szCs w:val="22"/>
        </w:rPr>
      </w:pPr>
      <w:r>
        <w:rPr>
          <w:rFonts w:ascii="Times New Roman" w:eastAsia="Times New Roman" w:hAnsi="Times New Roman" w:cs="Times New Roman"/>
        </w:rPr>
        <w:t xml:space="preserve">In an effort to maintain key components of </w:t>
      </w:r>
      <w:r>
        <w:rPr>
          <w:rFonts w:ascii="Times New Roman" w:eastAsia="Times New Roman" w:hAnsi="Times New Roman" w:cs="Times New Roman"/>
          <w:i/>
        </w:rPr>
        <w:t>Foundations for Learning</w:t>
      </w:r>
      <w:r>
        <w:rPr>
          <w:rFonts w:ascii="Times New Roman" w:eastAsia="Times New Roman" w:hAnsi="Times New Roman" w:cs="Times New Roman"/>
        </w:rPr>
        <w:t xml:space="preserve"> (FFL 101), particularly those support systems that are highly correlated with student succes</w:t>
      </w:r>
      <w:r w:rsidR="0090194B">
        <w:rPr>
          <w:rFonts w:ascii="Times New Roman" w:eastAsia="Times New Roman" w:hAnsi="Times New Roman" w:cs="Times New Roman"/>
        </w:rPr>
        <w:t>s and retention, after an initial</w:t>
      </w:r>
      <w:r>
        <w:rPr>
          <w:rFonts w:ascii="Times New Roman" w:eastAsia="Times New Roman" w:hAnsi="Times New Roman" w:cs="Times New Roman"/>
        </w:rPr>
        <w:t xml:space="preserve"> Gateway Retreat in the spring of 2012, the decision was made to integrate the major components of the FFL 101 course and program into the </w:t>
      </w:r>
      <w:r>
        <w:rPr>
          <w:rFonts w:ascii="Times New Roman" w:eastAsia="Times New Roman" w:hAnsi="Times New Roman" w:cs="Times New Roman"/>
          <w:i/>
        </w:rPr>
        <w:t xml:space="preserve">Global Foundations of Business </w:t>
      </w:r>
      <w:r>
        <w:rPr>
          <w:rFonts w:ascii="Times New Roman" w:eastAsia="Times New Roman" w:hAnsi="Times New Roman" w:cs="Times New Roman"/>
        </w:rPr>
        <w:t xml:space="preserve">(GFOB 100) and </w:t>
      </w:r>
      <w:r>
        <w:rPr>
          <w:rFonts w:ascii="Times New Roman" w:eastAsia="Times New Roman" w:hAnsi="Times New Roman" w:cs="Times New Roman"/>
          <w:i/>
        </w:rPr>
        <w:t xml:space="preserve">Global Foundations of Character and Leadership </w:t>
      </w:r>
      <w:r>
        <w:rPr>
          <w:rFonts w:ascii="Times New Roman" w:eastAsia="Times New Roman" w:hAnsi="Times New Roman" w:cs="Times New Roman"/>
        </w:rPr>
        <w:t>(GFCL 100)</w:t>
      </w:r>
      <w:r w:rsidR="00FF407E">
        <w:rPr>
          <w:rFonts w:ascii="Times New Roman" w:eastAsia="Times New Roman" w:hAnsi="Times New Roman" w:cs="Times New Roman"/>
        </w:rPr>
        <w:t xml:space="preserve"> </w:t>
      </w:r>
      <w:r>
        <w:rPr>
          <w:rFonts w:ascii="Times New Roman" w:eastAsia="Times New Roman" w:hAnsi="Times New Roman" w:cs="Times New Roman"/>
        </w:rPr>
        <w:t>courses. Faculty teaching the WRIT 106 and LCS 121 agreed to deliver some of the other features of the former model.</w:t>
      </w:r>
      <w:r w:rsidR="00834718">
        <w:rPr>
          <w:rFonts w:ascii="Times New Roman" w:eastAsia="Times New Roman" w:hAnsi="Times New Roman" w:cs="Times New Roman"/>
        </w:rPr>
        <w:t xml:space="preserve"> The student success textbook, </w:t>
      </w:r>
      <w:r w:rsidR="00834718" w:rsidRPr="00F96402">
        <w:rPr>
          <w:rFonts w:ascii="Times New Roman" w:eastAsia="Times New Roman" w:hAnsi="Times New Roman" w:cs="Times New Roman"/>
          <w:i/>
        </w:rPr>
        <w:t>Foundations for Learning: Claiming Your Education</w:t>
      </w:r>
      <w:r w:rsidR="00FF407E">
        <w:rPr>
          <w:rFonts w:ascii="Times New Roman" w:eastAsia="Times New Roman" w:hAnsi="Times New Roman" w:cs="Times New Roman"/>
          <w:i/>
        </w:rPr>
        <w:t xml:space="preserve"> </w:t>
      </w:r>
      <w:r w:rsidR="00F96402">
        <w:rPr>
          <w:rFonts w:ascii="Times New Roman" w:eastAsia="Times New Roman" w:hAnsi="Times New Roman" w:cs="Times New Roman"/>
        </w:rPr>
        <w:t>(</w:t>
      </w:r>
      <w:r w:rsidR="00834718" w:rsidRPr="00F96402">
        <w:rPr>
          <w:rFonts w:ascii="Times New Roman" w:eastAsia="Times New Roman" w:hAnsi="Times New Roman" w:cs="Times New Roman"/>
        </w:rPr>
        <w:t>3</w:t>
      </w:r>
      <w:r w:rsidR="00834718" w:rsidRPr="00F96402">
        <w:rPr>
          <w:rFonts w:ascii="Times New Roman" w:eastAsia="Times New Roman" w:hAnsi="Times New Roman" w:cs="Times New Roman"/>
          <w:vertAlign w:val="superscript"/>
        </w:rPr>
        <w:t>rd</w:t>
      </w:r>
      <w:r w:rsidR="00F96402">
        <w:rPr>
          <w:rFonts w:ascii="Times New Roman" w:eastAsia="Times New Roman" w:hAnsi="Times New Roman" w:cs="Times New Roman"/>
        </w:rPr>
        <w:t xml:space="preserve"> ed.),</w:t>
      </w:r>
      <w:r w:rsidR="00834718">
        <w:rPr>
          <w:rFonts w:ascii="Times New Roman" w:eastAsia="Times New Roman" w:hAnsi="Times New Roman" w:cs="Times New Roman"/>
        </w:rPr>
        <w:t xml:space="preserve"> was adopted as the core student success text to be utilized throughout the curriculum. </w:t>
      </w:r>
      <w:r w:rsidR="00834718" w:rsidRPr="00834718">
        <w:rPr>
          <w:rFonts w:ascii="Times New Roman" w:hAnsi="Times New Roman" w:cs="Times New Roman"/>
          <w:bCs/>
          <w:color w:val="000000" w:themeColor="text1"/>
          <w:szCs w:val="22"/>
        </w:rPr>
        <w:t xml:space="preserve">The focus of </w:t>
      </w:r>
      <w:r w:rsidR="00834718">
        <w:rPr>
          <w:rFonts w:ascii="Times New Roman" w:hAnsi="Times New Roman" w:cs="Times New Roman"/>
          <w:bCs/>
          <w:color w:val="000000" w:themeColor="text1"/>
          <w:szCs w:val="22"/>
        </w:rPr>
        <w:t xml:space="preserve">the book </w:t>
      </w:r>
      <w:r w:rsidR="00017198">
        <w:rPr>
          <w:rFonts w:ascii="Times New Roman" w:hAnsi="Times New Roman" w:cs="Times New Roman"/>
          <w:bCs/>
          <w:color w:val="000000" w:themeColor="text1"/>
          <w:szCs w:val="22"/>
        </w:rPr>
        <w:t>is on intellectual</w:t>
      </w:r>
      <w:r w:rsidR="00834718" w:rsidRPr="00834718">
        <w:rPr>
          <w:rFonts w:ascii="Times New Roman" w:hAnsi="Times New Roman" w:cs="Times New Roman"/>
          <w:bCs/>
          <w:color w:val="000000" w:themeColor="text1"/>
          <w:szCs w:val="22"/>
        </w:rPr>
        <w:t xml:space="preserve"> adjustment with personal development issues </w:t>
      </w:r>
      <w:r w:rsidR="00017198">
        <w:rPr>
          <w:rFonts w:ascii="Times New Roman" w:hAnsi="Times New Roman" w:cs="Times New Roman"/>
          <w:bCs/>
          <w:color w:val="000000" w:themeColor="text1"/>
          <w:szCs w:val="22"/>
        </w:rPr>
        <w:t xml:space="preserve">integrated into the academic </w:t>
      </w:r>
      <w:r w:rsidR="00834718" w:rsidRPr="00834718">
        <w:rPr>
          <w:rFonts w:ascii="Times New Roman" w:hAnsi="Times New Roman" w:cs="Times New Roman"/>
          <w:bCs/>
          <w:color w:val="000000" w:themeColor="text1"/>
          <w:szCs w:val="22"/>
        </w:rPr>
        <w:t>theme</w:t>
      </w:r>
      <w:r w:rsidR="00017198">
        <w:rPr>
          <w:rFonts w:ascii="Times New Roman" w:hAnsi="Times New Roman" w:cs="Times New Roman"/>
          <w:bCs/>
          <w:color w:val="000000" w:themeColor="text1"/>
          <w:szCs w:val="22"/>
        </w:rPr>
        <w:t>s</w:t>
      </w:r>
      <w:r w:rsidR="00F96402">
        <w:rPr>
          <w:rFonts w:ascii="Times New Roman" w:hAnsi="Times New Roman" w:cs="Times New Roman"/>
          <w:bCs/>
          <w:color w:val="000000" w:themeColor="text1"/>
          <w:szCs w:val="22"/>
        </w:rPr>
        <w:t xml:space="preserve"> of “claiming an education”</w:t>
      </w:r>
      <w:r w:rsidR="00834718" w:rsidRPr="00834718">
        <w:rPr>
          <w:rFonts w:ascii="Times New Roman" w:hAnsi="Times New Roman" w:cs="Times New Roman"/>
          <w:bCs/>
          <w:color w:val="000000" w:themeColor="text1"/>
          <w:szCs w:val="22"/>
        </w:rPr>
        <w:t xml:space="preserve"> and taking responsibility for one's own educ</w:t>
      </w:r>
      <w:r w:rsidR="00292AFF">
        <w:rPr>
          <w:rFonts w:ascii="Times New Roman" w:hAnsi="Times New Roman" w:cs="Times New Roman"/>
          <w:bCs/>
          <w:color w:val="000000" w:themeColor="text1"/>
          <w:szCs w:val="22"/>
        </w:rPr>
        <w:t>ation (Hazard</w:t>
      </w:r>
      <w:r w:rsidR="005E6AB5">
        <w:rPr>
          <w:rFonts w:ascii="Times New Roman" w:hAnsi="Times New Roman" w:cs="Times New Roman"/>
          <w:bCs/>
          <w:color w:val="000000" w:themeColor="text1"/>
          <w:szCs w:val="22"/>
        </w:rPr>
        <w:t>, L.&amp;</w:t>
      </w:r>
      <w:r w:rsidR="00292AFF">
        <w:rPr>
          <w:rFonts w:ascii="Times New Roman" w:hAnsi="Times New Roman" w:cs="Times New Roman"/>
          <w:bCs/>
          <w:color w:val="000000" w:themeColor="text1"/>
          <w:szCs w:val="22"/>
        </w:rPr>
        <w:t xml:space="preserve"> Nadeau</w:t>
      </w:r>
      <w:proofErr w:type="gramStart"/>
      <w:r w:rsidR="00FF407E">
        <w:rPr>
          <w:rFonts w:ascii="Times New Roman" w:hAnsi="Times New Roman" w:cs="Times New Roman"/>
          <w:bCs/>
          <w:color w:val="000000" w:themeColor="text1"/>
          <w:szCs w:val="22"/>
        </w:rPr>
        <w:t xml:space="preserve">, </w:t>
      </w:r>
      <w:r w:rsidR="00292AFF">
        <w:rPr>
          <w:rFonts w:ascii="Times New Roman" w:hAnsi="Times New Roman" w:cs="Times New Roman"/>
          <w:bCs/>
          <w:color w:val="000000" w:themeColor="text1"/>
          <w:szCs w:val="22"/>
        </w:rPr>
        <w:t>,</w:t>
      </w:r>
      <w:proofErr w:type="gramEnd"/>
      <w:r w:rsidR="005E6AB5">
        <w:rPr>
          <w:rFonts w:ascii="Times New Roman" w:hAnsi="Times New Roman" w:cs="Times New Roman"/>
          <w:bCs/>
          <w:color w:val="000000" w:themeColor="text1"/>
          <w:szCs w:val="22"/>
        </w:rPr>
        <w:t>J.</w:t>
      </w:r>
      <w:r w:rsidR="00292AFF">
        <w:rPr>
          <w:rFonts w:ascii="Times New Roman" w:hAnsi="Times New Roman" w:cs="Times New Roman"/>
          <w:bCs/>
          <w:color w:val="000000" w:themeColor="text1"/>
          <w:szCs w:val="22"/>
        </w:rPr>
        <w:t xml:space="preserve"> 2012)</w:t>
      </w:r>
    </w:p>
    <w:p w14:paraId="693FF2BB" w14:textId="77777777" w:rsidR="001A6EFD" w:rsidRDefault="00834718" w:rsidP="001A6EFD">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In addition to the </w:t>
      </w:r>
      <w:r w:rsidR="00D5579D">
        <w:rPr>
          <w:rFonts w:ascii="Times New Roman" w:eastAsia="Times New Roman" w:hAnsi="Times New Roman" w:cs="Times New Roman"/>
        </w:rPr>
        <w:t xml:space="preserve">common </w:t>
      </w:r>
      <w:r>
        <w:rPr>
          <w:rFonts w:ascii="Times New Roman" w:eastAsia="Times New Roman" w:hAnsi="Times New Roman" w:cs="Times New Roman"/>
        </w:rPr>
        <w:t>text, some c</w:t>
      </w:r>
      <w:r w:rsidR="001A6EFD">
        <w:rPr>
          <w:rFonts w:ascii="Times New Roman" w:eastAsia="Times New Roman" w:hAnsi="Times New Roman" w:cs="Times New Roman"/>
        </w:rPr>
        <w:t>omponents of the former</w:t>
      </w:r>
      <w:r w:rsidR="00007B56">
        <w:rPr>
          <w:rFonts w:ascii="Times New Roman" w:eastAsia="Times New Roman" w:hAnsi="Times New Roman" w:cs="Times New Roman"/>
        </w:rPr>
        <w:t xml:space="preserve"> m</w:t>
      </w:r>
      <w:r w:rsidR="00F96402">
        <w:rPr>
          <w:rFonts w:ascii="Times New Roman" w:eastAsia="Times New Roman" w:hAnsi="Times New Roman" w:cs="Times New Roman"/>
        </w:rPr>
        <w:t>odel that were retained are</w:t>
      </w:r>
      <w:r w:rsidR="00007B56">
        <w:rPr>
          <w:rFonts w:ascii="Times New Roman" w:eastAsia="Times New Roman" w:hAnsi="Times New Roman" w:cs="Times New Roman"/>
        </w:rPr>
        <w:t xml:space="preserve"> strong partnerships with the academic support units including the Academic Center for Excellence (the University’s learning assistance programs and services), The Writing Center, Undergraduate Advising, and Student Affairs</w:t>
      </w:r>
      <w:r w:rsidR="001A6EFD">
        <w:rPr>
          <w:rFonts w:ascii="Times New Roman" w:eastAsia="Times New Roman" w:hAnsi="Times New Roman" w:cs="Times New Roman"/>
        </w:rPr>
        <w:t>,</w:t>
      </w:r>
      <w:r w:rsidR="00F96402">
        <w:rPr>
          <w:rFonts w:ascii="Times New Roman" w:eastAsia="Times New Roman" w:hAnsi="Times New Roman" w:cs="Times New Roman"/>
        </w:rPr>
        <w:t xml:space="preserve"> comprising</w:t>
      </w:r>
      <w:r w:rsidR="00007B56">
        <w:rPr>
          <w:rFonts w:ascii="Times New Roman" w:eastAsia="Times New Roman" w:hAnsi="Times New Roman" w:cs="Times New Roman"/>
        </w:rPr>
        <w:t xml:space="preserve"> departments such as the Center for Campus Engagement and the Women’s Center.  Stakeholders from both Academic and Student Affairs partnered to design integrated success instruction and programming</w:t>
      </w:r>
      <w:r w:rsidR="00EC77BD">
        <w:rPr>
          <w:rFonts w:ascii="Times New Roman" w:eastAsia="Times New Roman" w:hAnsi="Times New Roman" w:cs="Times New Roman"/>
        </w:rPr>
        <w:t>.</w:t>
      </w:r>
      <w:r w:rsidR="00007B56">
        <w:rPr>
          <w:rFonts w:ascii="Times New Roman" w:eastAsia="Times New Roman" w:hAnsi="Times New Roman" w:cs="Times New Roman"/>
        </w:rPr>
        <w:t xml:space="preserve">  For example, each section of the</w:t>
      </w:r>
      <w:r w:rsidR="00F96402">
        <w:rPr>
          <w:rFonts w:ascii="Times New Roman" w:eastAsia="Times New Roman" w:hAnsi="Times New Roman" w:cs="Times New Roman"/>
        </w:rPr>
        <w:t xml:space="preserve"> First-Year Gateway classes was</w:t>
      </w:r>
      <w:r w:rsidR="00007B56">
        <w:rPr>
          <w:rFonts w:ascii="Times New Roman" w:eastAsia="Times New Roman" w:hAnsi="Times New Roman" w:cs="Times New Roman"/>
        </w:rPr>
        <w:t xml:space="preserve"> assigned an Academic Advisor and a Student Affairs representative responsible for partnering with faculty to intentionally monitor the academic and social transition of first-years. Advisors conducted class visits at key developmental timeframes in the semester to inform the students about campus policies such as academic honesty rules, the grading system, academic standing regulation</w:t>
      </w:r>
      <w:r w:rsidR="001A6EFD">
        <w:rPr>
          <w:rFonts w:ascii="Times New Roman" w:eastAsia="Times New Roman" w:hAnsi="Times New Roman" w:cs="Times New Roman"/>
        </w:rPr>
        <w:t>s, and registration procedures.</w:t>
      </w:r>
    </w:p>
    <w:p w14:paraId="554FDD41" w14:textId="77777777" w:rsidR="00935112" w:rsidRDefault="00007B56" w:rsidP="001A6EFD">
      <w:pPr>
        <w:spacing w:line="240" w:lineRule="auto"/>
        <w:ind w:firstLine="720"/>
      </w:pPr>
      <w:r w:rsidRPr="001B79B3">
        <w:rPr>
          <w:rFonts w:ascii="Times New Roman" w:eastAsia="Times New Roman" w:hAnsi="Times New Roman" w:cs="Times New Roman"/>
        </w:rPr>
        <w:t xml:space="preserve">Student Affairs representatives visited classrooms to emphasize the importance of student engagement in co-curricular programming such as participating in workshops offered by the </w:t>
      </w:r>
      <w:proofErr w:type="spellStart"/>
      <w:r w:rsidRPr="001B79B3">
        <w:rPr>
          <w:rFonts w:ascii="Times New Roman" w:eastAsia="Times New Roman" w:hAnsi="Times New Roman" w:cs="Times New Roman"/>
        </w:rPr>
        <w:t>Amica</w:t>
      </w:r>
      <w:proofErr w:type="spellEnd"/>
      <w:r w:rsidRPr="001B79B3">
        <w:rPr>
          <w:rFonts w:ascii="Times New Roman" w:eastAsia="Times New Roman" w:hAnsi="Times New Roman" w:cs="Times New Roman"/>
        </w:rPr>
        <w:t xml:space="preserve"> Center for Career Education</w:t>
      </w:r>
      <w:r w:rsidR="001A6EFD" w:rsidRPr="001B79B3">
        <w:rPr>
          <w:rFonts w:ascii="Times New Roman" w:eastAsia="Times New Roman" w:hAnsi="Times New Roman" w:cs="Times New Roman"/>
        </w:rPr>
        <w:t xml:space="preserve"> or attending a workshop on sexuality offered by the Women’s Center</w:t>
      </w:r>
      <w:r w:rsidRPr="001B79B3">
        <w:rPr>
          <w:rFonts w:ascii="Times New Roman" w:eastAsia="Times New Roman" w:hAnsi="Times New Roman" w:cs="Times New Roman"/>
        </w:rPr>
        <w:t>. Faculty required students to participate in study skills instruct</w:t>
      </w:r>
      <w:r w:rsidR="001A6EFD" w:rsidRPr="001B79B3">
        <w:rPr>
          <w:rFonts w:ascii="Times New Roman" w:eastAsia="Times New Roman" w:hAnsi="Times New Roman" w:cs="Times New Roman"/>
        </w:rPr>
        <w:t>ion and programming offered by T</w:t>
      </w:r>
      <w:r w:rsidRPr="001B79B3">
        <w:rPr>
          <w:rFonts w:ascii="Times New Roman" w:eastAsia="Times New Roman" w:hAnsi="Times New Roman" w:cs="Times New Roman"/>
        </w:rPr>
        <w:t>he Acad</w:t>
      </w:r>
      <w:r w:rsidR="001A6EFD" w:rsidRPr="001B79B3">
        <w:rPr>
          <w:rFonts w:ascii="Times New Roman" w:eastAsia="Times New Roman" w:hAnsi="Times New Roman" w:cs="Times New Roman"/>
        </w:rPr>
        <w:t>emic Center for Excellence and T</w:t>
      </w:r>
      <w:r w:rsidRPr="001B79B3">
        <w:rPr>
          <w:rFonts w:ascii="Times New Roman" w:eastAsia="Times New Roman" w:hAnsi="Times New Roman" w:cs="Times New Roman"/>
        </w:rPr>
        <w:t>he Writing Center to augment classroom instruction.  Final</w:t>
      </w:r>
      <w:r w:rsidR="001A6EFD" w:rsidRPr="001B79B3">
        <w:rPr>
          <w:rFonts w:ascii="Times New Roman" w:eastAsia="Times New Roman" w:hAnsi="Times New Roman" w:cs="Times New Roman"/>
        </w:rPr>
        <w:t xml:space="preserve">ly, in </w:t>
      </w:r>
      <w:r w:rsidR="001A6EFD" w:rsidRPr="001B79B3">
        <w:rPr>
          <w:rFonts w:ascii="Times New Roman" w:eastAsia="Times New Roman" w:hAnsi="Times New Roman" w:cs="Times New Roman"/>
        </w:rPr>
        <w:lastRenderedPageBreak/>
        <w:t xml:space="preserve">addition to </w:t>
      </w:r>
      <w:r w:rsidR="00281738" w:rsidRPr="001B79B3">
        <w:rPr>
          <w:rFonts w:ascii="Times New Roman" w:eastAsia="Times New Roman" w:hAnsi="Times New Roman" w:cs="Times New Roman"/>
        </w:rPr>
        <w:t xml:space="preserve">co-curricular </w:t>
      </w:r>
      <w:r w:rsidR="001A6EFD" w:rsidRPr="001B79B3">
        <w:rPr>
          <w:rFonts w:ascii="Times New Roman" w:eastAsia="Times New Roman" w:hAnsi="Times New Roman" w:cs="Times New Roman"/>
        </w:rPr>
        <w:t>workshops, a series of Gateway Session</w:t>
      </w:r>
      <w:r w:rsidR="00281738" w:rsidRPr="001B79B3">
        <w:rPr>
          <w:rFonts w:ascii="Times New Roman" w:eastAsia="Times New Roman" w:hAnsi="Times New Roman" w:cs="Times New Roman"/>
        </w:rPr>
        <w:t>s were created t</w:t>
      </w:r>
      <w:r w:rsidR="00A71B16" w:rsidRPr="001B79B3">
        <w:rPr>
          <w:rFonts w:ascii="Times New Roman" w:eastAsia="Times New Roman" w:hAnsi="Times New Roman" w:cs="Times New Roman"/>
        </w:rPr>
        <w:t>o</w:t>
      </w:r>
      <w:r w:rsidR="000C204E">
        <w:rPr>
          <w:rFonts w:ascii="Times New Roman" w:eastAsia="Times New Roman" w:hAnsi="Times New Roman" w:cs="Times New Roman"/>
        </w:rPr>
        <w:t xml:space="preserve"> </w:t>
      </w:r>
      <w:r w:rsidR="001A6EFD" w:rsidRPr="001B79B3">
        <w:rPr>
          <w:rFonts w:ascii="Times New Roman" w:eastAsia="Times New Roman" w:hAnsi="Times New Roman" w:cs="Times New Roman"/>
        </w:rPr>
        <w:t xml:space="preserve">formally </w:t>
      </w:r>
      <w:r w:rsidRPr="001B79B3">
        <w:rPr>
          <w:rFonts w:ascii="Times New Roman" w:eastAsia="Times New Roman" w:hAnsi="Times New Roman" w:cs="Times New Roman"/>
        </w:rPr>
        <w:t>align with the Gateway goals. For example</w:t>
      </w:r>
      <w:r w:rsidR="00C16000" w:rsidRPr="001B79B3">
        <w:rPr>
          <w:rFonts w:ascii="Times New Roman" w:eastAsia="Times New Roman" w:hAnsi="Times New Roman" w:cs="Times New Roman"/>
        </w:rPr>
        <w:t xml:space="preserve">, during the 2013-2014 academic </w:t>
      </w:r>
      <w:r w:rsidRPr="001B79B3">
        <w:rPr>
          <w:rFonts w:ascii="Times New Roman" w:eastAsia="Times New Roman" w:hAnsi="Times New Roman" w:cs="Times New Roman"/>
        </w:rPr>
        <w:t xml:space="preserve">year, students participated </w:t>
      </w:r>
      <w:r w:rsidR="00281738" w:rsidRPr="001B79B3">
        <w:rPr>
          <w:rFonts w:ascii="Times New Roman" w:eastAsia="Times New Roman" w:hAnsi="Times New Roman" w:cs="Times New Roman"/>
        </w:rPr>
        <w:t>in</w:t>
      </w:r>
      <w:r w:rsidR="001A6EFD" w:rsidRPr="001B79B3">
        <w:rPr>
          <w:rFonts w:ascii="Times New Roman" w:eastAsia="Times New Roman" w:hAnsi="Times New Roman" w:cs="Times New Roman"/>
        </w:rPr>
        <w:t xml:space="preserve"> Gateway Sessions </w:t>
      </w:r>
      <w:r w:rsidRPr="001B79B3">
        <w:rPr>
          <w:rFonts w:ascii="Times New Roman" w:eastAsia="Times New Roman" w:hAnsi="Times New Roman" w:cs="Times New Roman"/>
        </w:rPr>
        <w:t>aimed at developing self-regulatory behaviors to meet s</w:t>
      </w:r>
      <w:r w:rsidR="001A6EFD" w:rsidRPr="001B79B3">
        <w:rPr>
          <w:rFonts w:ascii="Times New Roman" w:eastAsia="Times New Roman" w:hAnsi="Times New Roman" w:cs="Times New Roman"/>
        </w:rPr>
        <w:t>tudent success goals; a session</w:t>
      </w:r>
      <w:r w:rsidRPr="001B79B3">
        <w:rPr>
          <w:rFonts w:ascii="Times New Roman" w:eastAsia="Times New Roman" w:hAnsi="Times New Roman" w:cs="Times New Roman"/>
        </w:rPr>
        <w:t xml:space="preserve"> on the process of reflective learning to </w:t>
      </w:r>
      <w:r w:rsidR="001A6EFD" w:rsidRPr="001B79B3">
        <w:rPr>
          <w:rFonts w:ascii="Times New Roman" w:eastAsia="Times New Roman" w:hAnsi="Times New Roman" w:cs="Times New Roman"/>
        </w:rPr>
        <w:t xml:space="preserve">meet the critical thinking goal; </w:t>
      </w:r>
      <w:r w:rsidRPr="001B79B3">
        <w:rPr>
          <w:rFonts w:ascii="Times New Roman" w:eastAsia="Times New Roman" w:hAnsi="Times New Roman" w:cs="Times New Roman"/>
        </w:rPr>
        <w:t>and an ethics event designed to advance the ethical reasoning goal.</w:t>
      </w:r>
    </w:p>
    <w:p w14:paraId="73E7E0F9" w14:textId="77777777" w:rsidR="00935112" w:rsidRDefault="00935112">
      <w:pPr>
        <w:spacing w:line="240" w:lineRule="auto"/>
      </w:pPr>
    </w:p>
    <w:p w14:paraId="21AEB2E9" w14:textId="77777777" w:rsidR="00935112" w:rsidRDefault="00007B56">
      <w:pPr>
        <w:spacing w:line="240" w:lineRule="auto"/>
      </w:pPr>
      <w:proofErr w:type="spellStart"/>
      <w:r>
        <w:rPr>
          <w:rFonts w:ascii="Times New Roman" w:eastAsia="Times New Roman" w:hAnsi="Times New Roman" w:cs="Times New Roman"/>
          <w:b/>
        </w:rPr>
        <w:t>ePortfolio</w:t>
      </w:r>
      <w:proofErr w:type="spellEnd"/>
      <w:r>
        <w:rPr>
          <w:rFonts w:ascii="Times New Roman" w:eastAsia="Times New Roman" w:hAnsi="Times New Roman" w:cs="Times New Roman"/>
          <w:b/>
        </w:rPr>
        <w:t>&amp; Reflection</w:t>
      </w:r>
    </w:p>
    <w:p w14:paraId="46125143" w14:textId="77777777" w:rsidR="00935112" w:rsidRDefault="00F26E56">
      <w:pPr>
        <w:spacing w:line="240" w:lineRule="auto"/>
        <w:ind w:firstLine="720"/>
      </w:pPr>
      <w:r>
        <w:rPr>
          <w:rFonts w:ascii="Times New Roman" w:eastAsia="Times New Roman" w:hAnsi="Times New Roman" w:cs="Times New Roman"/>
        </w:rPr>
        <w:t>Consistent with best practices (Chen, H.L. and Light, T.P., 2010), t</w:t>
      </w:r>
      <w:r w:rsidR="00007B56">
        <w:rPr>
          <w:rFonts w:ascii="Times New Roman" w:eastAsia="Times New Roman" w:hAnsi="Times New Roman" w:cs="Times New Roman"/>
        </w:rPr>
        <w:t xml:space="preserve">he Gateway team developed an </w:t>
      </w:r>
      <w:proofErr w:type="spellStart"/>
      <w:r w:rsidR="00007B56">
        <w:rPr>
          <w:rFonts w:ascii="Times New Roman" w:eastAsia="Times New Roman" w:hAnsi="Times New Roman" w:cs="Times New Roman"/>
        </w:rPr>
        <w:t>ePortfolio</w:t>
      </w:r>
      <w:proofErr w:type="spellEnd"/>
      <w:r w:rsidR="00007B56">
        <w:rPr>
          <w:rFonts w:ascii="Times New Roman" w:eastAsia="Times New Roman" w:hAnsi="Times New Roman" w:cs="Times New Roman"/>
        </w:rPr>
        <w:t xml:space="preserve"> template with placeholders for students to upload artifacts and reflections for each of the key Gateway learning outcomes. Faculty development sessions were held in the summer and fall of 2012 to familiarize</w:t>
      </w:r>
      <w:r w:rsidR="004A090A">
        <w:rPr>
          <w:rFonts w:ascii="Times New Roman" w:eastAsia="Times New Roman" w:hAnsi="Times New Roman" w:cs="Times New Roman"/>
        </w:rPr>
        <w:t xml:space="preserve"> them</w:t>
      </w:r>
      <w:r w:rsidR="000D45A7">
        <w:rPr>
          <w:rFonts w:ascii="Times New Roman" w:eastAsia="Times New Roman" w:hAnsi="Times New Roman" w:cs="Times New Roman"/>
        </w:rPr>
        <w:t xml:space="preserve"> with the </w:t>
      </w:r>
      <w:proofErr w:type="spellStart"/>
      <w:r w:rsidR="000D45A7">
        <w:rPr>
          <w:rFonts w:ascii="Times New Roman" w:eastAsia="Times New Roman" w:hAnsi="Times New Roman" w:cs="Times New Roman"/>
        </w:rPr>
        <w:t>eP</w:t>
      </w:r>
      <w:r w:rsidR="00007B56">
        <w:rPr>
          <w:rFonts w:ascii="Times New Roman" w:eastAsia="Times New Roman" w:hAnsi="Times New Roman" w:cs="Times New Roman"/>
        </w:rPr>
        <w:t>ortfolio</w:t>
      </w:r>
      <w:proofErr w:type="spellEnd"/>
      <w:r w:rsidR="00007B56">
        <w:rPr>
          <w:rFonts w:ascii="Times New Roman" w:eastAsia="Times New Roman" w:hAnsi="Times New Roman" w:cs="Times New Roman"/>
        </w:rPr>
        <w:t xml:space="preserve"> templ</w:t>
      </w:r>
      <w:r w:rsidR="004A090A">
        <w:rPr>
          <w:rFonts w:ascii="Times New Roman" w:eastAsia="Times New Roman" w:hAnsi="Times New Roman" w:cs="Times New Roman"/>
        </w:rPr>
        <w:t xml:space="preserve">ate, as well as to provide </w:t>
      </w:r>
      <w:r w:rsidR="00007B56">
        <w:rPr>
          <w:rFonts w:ascii="Times New Roman" w:eastAsia="Times New Roman" w:hAnsi="Times New Roman" w:cs="Times New Roman"/>
        </w:rPr>
        <w:t>strategies they might use to foster student reflec</w:t>
      </w:r>
      <w:r w:rsidR="000D45A7">
        <w:rPr>
          <w:rFonts w:ascii="Times New Roman" w:eastAsia="Times New Roman" w:hAnsi="Times New Roman" w:cs="Times New Roman"/>
        </w:rPr>
        <w:t xml:space="preserve">tion. The </w:t>
      </w:r>
      <w:proofErr w:type="spellStart"/>
      <w:r w:rsidR="000D45A7">
        <w:rPr>
          <w:rFonts w:ascii="Times New Roman" w:eastAsia="Times New Roman" w:hAnsi="Times New Roman" w:cs="Times New Roman"/>
        </w:rPr>
        <w:t>eP</w:t>
      </w:r>
      <w:r w:rsidR="00007B56">
        <w:rPr>
          <w:rFonts w:ascii="Times New Roman" w:eastAsia="Times New Roman" w:hAnsi="Times New Roman" w:cs="Times New Roman"/>
        </w:rPr>
        <w:t>ortfolio</w:t>
      </w:r>
      <w:proofErr w:type="spellEnd"/>
      <w:r w:rsidR="00007B56">
        <w:rPr>
          <w:rFonts w:ascii="Times New Roman" w:eastAsia="Times New Roman" w:hAnsi="Times New Roman" w:cs="Times New Roman"/>
        </w:rPr>
        <w:t xml:space="preserve"> template was presented to the students early in the fall in their Gateway courses. A set of short instructional videos about the </w:t>
      </w:r>
      <w:proofErr w:type="spellStart"/>
      <w:r w:rsidR="00007B56">
        <w:rPr>
          <w:rFonts w:ascii="Times New Roman" w:eastAsia="Times New Roman" w:hAnsi="Times New Roman" w:cs="Times New Roman"/>
        </w:rPr>
        <w:t>ePortfolio</w:t>
      </w:r>
      <w:proofErr w:type="spellEnd"/>
      <w:r w:rsidR="00007B56">
        <w:rPr>
          <w:rFonts w:ascii="Times New Roman" w:eastAsia="Times New Roman" w:hAnsi="Times New Roman" w:cs="Times New Roman"/>
        </w:rPr>
        <w:t xml:space="preserve"> were produced and made available to faculty for uploading into their Blackboard sites. In addition, classroom visits for portfolio assistance were made available upon request. Finally, the </w:t>
      </w:r>
      <w:r w:rsidR="00793AB1">
        <w:rPr>
          <w:rFonts w:ascii="Times New Roman" w:eastAsia="Times New Roman" w:hAnsi="Times New Roman" w:cs="Times New Roman"/>
        </w:rPr>
        <w:t xml:space="preserve">Writing Center </w:t>
      </w:r>
      <w:r w:rsidR="00007B56">
        <w:rPr>
          <w:rFonts w:ascii="Times New Roman" w:eastAsia="Times New Roman" w:hAnsi="Times New Roman" w:cs="Times New Roman"/>
        </w:rPr>
        <w:t xml:space="preserve">hosted several sessions on promoting student reflection to help students prepare portfolio content. </w:t>
      </w:r>
    </w:p>
    <w:p w14:paraId="47C44F28" w14:textId="77777777" w:rsidR="00935112" w:rsidRDefault="00935112"/>
    <w:p w14:paraId="511D86E0" w14:textId="77777777" w:rsidR="00935112" w:rsidRDefault="00007B56">
      <w:r>
        <w:rPr>
          <w:rFonts w:ascii="Times New Roman" w:eastAsia="Times New Roman" w:hAnsi="Times New Roman" w:cs="Times New Roman"/>
          <w:b/>
          <w:sz w:val="24"/>
        </w:rPr>
        <w:t>Assessment Data</w:t>
      </w:r>
    </w:p>
    <w:p w14:paraId="74CC14F1" w14:textId="77777777" w:rsidR="00935112" w:rsidRDefault="00935112"/>
    <w:p w14:paraId="544C4C06" w14:textId="77777777" w:rsidR="00935112" w:rsidRDefault="00007B56">
      <w:pPr>
        <w:spacing w:line="240" w:lineRule="auto"/>
        <w:ind w:firstLine="720"/>
      </w:pPr>
      <w:r>
        <w:rPr>
          <w:rFonts w:ascii="Times New Roman" w:eastAsia="Times New Roman" w:hAnsi="Times New Roman" w:cs="Times New Roman"/>
        </w:rPr>
        <w:t>From its inception, the Gateway Program has relied on ass</w:t>
      </w:r>
      <w:r w:rsidR="000D45A7">
        <w:rPr>
          <w:rFonts w:ascii="Times New Roman" w:eastAsia="Times New Roman" w:hAnsi="Times New Roman" w:cs="Times New Roman"/>
        </w:rPr>
        <w:t>essment data</w:t>
      </w:r>
      <w:r>
        <w:rPr>
          <w:rFonts w:ascii="Times New Roman" w:eastAsia="Times New Roman" w:hAnsi="Times New Roman" w:cs="Times New Roman"/>
        </w:rPr>
        <w:t xml:space="preserve"> to guide curriculum design and pedagogical choices. Professional development workshops in the summer and fall of 2012 relied heavily on reams of institutional data providing valuable insights into today’s college students in general and Bryant students in particular. A “data sampler” featuring empirical evidence from </w:t>
      </w:r>
      <w:r w:rsidR="00C8066B">
        <w:rPr>
          <w:rFonts w:ascii="Times New Roman" w:eastAsia="Times New Roman" w:hAnsi="Times New Roman" w:cs="Times New Roman"/>
        </w:rPr>
        <w:t>the National Survey of Student E</w:t>
      </w:r>
      <w:r w:rsidR="00C8066B" w:rsidRPr="00C8066B">
        <w:rPr>
          <w:rFonts w:ascii="Times New Roman" w:eastAsia="Times New Roman" w:hAnsi="Times New Roman" w:cs="Times New Roman"/>
        </w:rPr>
        <w:t xml:space="preserve">ngagement </w:t>
      </w:r>
      <w:r w:rsidR="00C8066B">
        <w:rPr>
          <w:rFonts w:ascii="Times New Roman" w:eastAsia="Times New Roman" w:hAnsi="Times New Roman" w:cs="Times New Roman"/>
        </w:rPr>
        <w:t>(</w:t>
      </w:r>
      <w:r>
        <w:rPr>
          <w:rFonts w:ascii="Times New Roman" w:eastAsia="Times New Roman" w:hAnsi="Times New Roman" w:cs="Times New Roman"/>
        </w:rPr>
        <w:t>NSSE</w:t>
      </w:r>
      <w:r w:rsidR="00C8066B">
        <w:rPr>
          <w:rFonts w:ascii="Times New Roman" w:eastAsia="Times New Roman" w:hAnsi="Times New Roman" w:cs="Times New Roman"/>
        </w:rPr>
        <w:t>)</w:t>
      </w:r>
      <w:r>
        <w:rPr>
          <w:rFonts w:ascii="Times New Roman" w:eastAsia="Times New Roman" w:hAnsi="Times New Roman" w:cs="Times New Roman"/>
        </w:rPr>
        <w:t xml:space="preserve">, </w:t>
      </w:r>
      <w:r w:rsidR="00C8066B">
        <w:rPr>
          <w:rFonts w:ascii="Times New Roman" w:eastAsia="Times New Roman" w:hAnsi="Times New Roman" w:cs="Times New Roman"/>
        </w:rPr>
        <w:t>the Cooperative Institution Research Program (</w:t>
      </w:r>
      <w:r>
        <w:rPr>
          <w:rFonts w:ascii="Times New Roman" w:eastAsia="Times New Roman" w:hAnsi="Times New Roman" w:cs="Times New Roman"/>
        </w:rPr>
        <w:t>CIRP</w:t>
      </w:r>
      <w:r w:rsidR="00C8066B">
        <w:rPr>
          <w:rFonts w:ascii="Times New Roman" w:eastAsia="Times New Roman" w:hAnsi="Times New Roman" w:cs="Times New Roman"/>
        </w:rPr>
        <w:t>)</w:t>
      </w:r>
      <w:r>
        <w:rPr>
          <w:rFonts w:ascii="Times New Roman" w:eastAsia="Times New Roman" w:hAnsi="Times New Roman" w:cs="Times New Roman"/>
        </w:rPr>
        <w:t xml:space="preserve">, the Wabash National Study, </w:t>
      </w:r>
      <w:r w:rsidR="00C8066B">
        <w:rPr>
          <w:rFonts w:ascii="Times New Roman" w:eastAsia="Times New Roman" w:hAnsi="Times New Roman" w:cs="Times New Roman"/>
        </w:rPr>
        <w:t xml:space="preserve">the </w:t>
      </w:r>
      <w:r>
        <w:rPr>
          <w:rFonts w:ascii="Times New Roman" w:eastAsia="Times New Roman" w:hAnsi="Times New Roman" w:cs="Times New Roman"/>
        </w:rPr>
        <w:t>Bryant Orientation Survey, and Bryant demographic and student success data was provided. Workshop participants were assigne</w:t>
      </w:r>
      <w:r w:rsidR="005E6AB5">
        <w:rPr>
          <w:rFonts w:ascii="Times New Roman" w:eastAsia="Times New Roman" w:hAnsi="Times New Roman" w:cs="Times New Roman"/>
        </w:rPr>
        <w:t>d</w:t>
      </w:r>
      <w:r>
        <w:rPr>
          <w:rFonts w:ascii="Times New Roman" w:eastAsia="Times New Roman" w:hAnsi="Times New Roman" w:cs="Times New Roman"/>
        </w:rPr>
        <w:t xml:space="preserve"> subsets of the data sampler</w:t>
      </w:r>
      <w:r w:rsidR="00C8066B">
        <w:rPr>
          <w:rFonts w:ascii="Times New Roman" w:eastAsia="Times New Roman" w:hAnsi="Times New Roman" w:cs="Times New Roman"/>
        </w:rPr>
        <w:t xml:space="preserve"> and asked to identify patterns in an effort to </w:t>
      </w:r>
      <w:r>
        <w:rPr>
          <w:rFonts w:ascii="Times New Roman" w:eastAsia="Times New Roman" w:hAnsi="Times New Roman" w:cs="Times New Roman"/>
        </w:rPr>
        <w:t>reflect on the implications for teaching and learning. This exercise proved valuable in orienting Gateway faculty and staff, and served as the basis for follow up workshops on such topics as cognitive development, learning theory, scaffolding curriculum, and student transition</w:t>
      </w:r>
      <w:r w:rsidR="00793AB1">
        <w:rPr>
          <w:rFonts w:ascii="Times New Roman" w:eastAsia="Times New Roman" w:hAnsi="Times New Roman" w:cs="Times New Roman"/>
        </w:rPr>
        <w:t>,</w:t>
      </w:r>
      <w:r>
        <w:rPr>
          <w:rFonts w:ascii="Times New Roman" w:eastAsia="Times New Roman" w:hAnsi="Times New Roman" w:cs="Times New Roman"/>
        </w:rPr>
        <w:t xml:space="preserve"> to name just a few. The data sampler exercise had the added benefit of socializing the Gateway team to the need for ongoing program assessment to inform professional development. Such assessment activities have been built into the program’s design for both academic and student success outcomes.</w:t>
      </w:r>
    </w:p>
    <w:p w14:paraId="0E0D605E" w14:textId="77777777" w:rsidR="00935112" w:rsidRDefault="00935112"/>
    <w:p w14:paraId="3236B5FD" w14:textId="77777777" w:rsidR="00935112" w:rsidRDefault="00007B56">
      <w:pPr>
        <w:spacing w:line="240" w:lineRule="auto"/>
      </w:pPr>
      <w:r>
        <w:rPr>
          <w:rFonts w:ascii="Times New Roman" w:eastAsia="Times New Roman" w:hAnsi="Times New Roman" w:cs="Times New Roman"/>
          <w:b/>
        </w:rPr>
        <w:t>Academic Outcomes Assessment</w:t>
      </w:r>
    </w:p>
    <w:p w14:paraId="77F07B74" w14:textId="77777777" w:rsidR="00935112" w:rsidRDefault="00007B56">
      <w:pPr>
        <w:spacing w:line="240" w:lineRule="auto"/>
        <w:ind w:firstLine="720"/>
      </w:pPr>
      <w:r>
        <w:rPr>
          <w:rFonts w:ascii="Times New Roman" w:eastAsia="Times New Roman" w:hAnsi="Times New Roman" w:cs="Times New Roman"/>
        </w:rPr>
        <w:t xml:space="preserve">All of the Gateway courses have adopted the </w:t>
      </w:r>
      <w:r w:rsidR="000D45A7">
        <w:rPr>
          <w:rFonts w:ascii="Times New Roman" w:eastAsia="Times New Roman" w:hAnsi="Times New Roman" w:cs="Times New Roman"/>
        </w:rPr>
        <w:t xml:space="preserve">same </w:t>
      </w:r>
      <w:r>
        <w:rPr>
          <w:rFonts w:ascii="Times New Roman" w:eastAsia="Times New Roman" w:hAnsi="Times New Roman" w:cs="Times New Roman"/>
        </w:rPr>
        <w:t>broad program learning outcomes. Faculty have worked to identify course assignments that are aligned with one or more outcomes. All faculty have also been made aware of and utilize the AAC&amp;U VALUE rubrics for the relevant outcomes. Bryant employs an as</w:t>
      </w:r>
      <w:r w:rsidR="00BE6196">
        <w:rPr>
          <w:rFonts w:ascii="Times New Roman" w:eastAsia="Times New Roman" w:hAnsi="Times New Roman" w:cs="Times New Roman"/>
        </w:rPr>
        <w:t>sessment module within the</w:t>
      </w:r>
      <w:r>
        <w:rPr>
          <w:rFonts w:ascii="Times New Roman" w:eastAsia="Times New Roman" w:hAnsi="Times New Roman" w:cs="Times New Roman"/>
        </w:rPr>
        <w:t xml:space="preserve"> Blackboard learning management system installation, enabling faculty to quickly align course assignments wit</w:t>
      </w:r>
      <w:r w:rsidR="001B79B3">
        <w:rPr>
          <w:rFonts w:ascii="Times New Roman" w:eastAsia="Times New Roman" w:hAnsi="Times New Roman" w:cs="Times New Roman"/>
        </w:rPr>
        <w:t xml:space="preserve">h appropriate outcomes. Once </w:t>
      </w:r>
      <w:r>
        <w:rPr>
          <w:rFonts w:ascii="Times New Roman" w:eastAsia="Times New Roman" w:hAnsi="Times New Roman" w:cs="Times New Roman"/>
        </w:rPr>
        <w:t>aligned, all submitted student work for these assignments is collected in a pool and is available for assessment purposes. The</w:t>
      </w:r>
      <w:r w:rsidR="001B79B3">
        <w:rPr>
          <w:rFonts w:ascii="Times New Roman" w:eastAsia="Times New Roman" w:hAnsi="Times New Roman" w:cs="Times New Roman"/>
        </w:rPr>
        <w:t xml:space="preserve"> Gateway leadership team</w:t>
      </w:r>
      <w:r>
        <w:rPr>
          <w:rFonts w:ascii="Times New Roman" w:eastAsia="Times New Roman" w:hAnsi="Times New Roman" w:cs="Times New Roman"/>
        </w:rPr>
        <w:t xml:space="preserve"> randomly select</w:t>
      </w:r>
      <w:r w:rsidR="001B79B3">
        <w:rPr>
          <w:rFonts w:ascii="Times New Roman" w:eastAsia="Times New Roman" w:hAnsi="Times New Roman" w:cs="Times New Roman"/>
        </w:rPr>
        <w:t>s</w:t>
      </w:r>
      <w:r>
        <w:rPr>
          <w:rFonts w:ascii="Times New Roman" w:eastAsia="Times New Roman" w:hAnsi="Times New Roman" w:cs="Times New Roman"/>
        </w:rPr>
        <w:t xml:space="preserve"> a sample of relevant student work for each outcome and assign</w:t>
      </w:r>
      <w:r w:rsidR="001B79B3">
        <w:rPr>
          <w:rFonts w:ascii="Times New Roman" w:eastAsia="Times New Roman" w:hAnsi="Times New Roman" w:cs="Times New Roman"/>
        </w:rPr>
        <w:t>s</w:t>
      </w:r>
      <w:r>
        <w:rPr>
          <w:rFonts w:ascii="Times New Roman" w:eastAsia="Times New Roman" w:hAnsi="Times New Roman" w:cs="Times New Roman"/>
        </w:rPr>
        <w:t xml:space="preserve"> these to an assessment team through </w:t>
      </w:r>
      <w:r w:rsidR="001B79B3">
        <w:rPr>
          <w:rFonts w:ascii="Times New Roman" w:eastAsia="Times New Roman" w:hAnsi="Times New Roman" w:cs="Times New Roman"/>
        </w:rPr>
        <w:t>Blackboard. Assessment teams</w:t>
      </w:r>
      <w:r>
        <w:rPr>
          <w:rFonts w:ascii="Times New Roman" w:eastAsia="Times New Roman" w:hAnsi="Times New Roman" w:cs="Times New Roman"/>
        </w:rPr>
        <w:t xml:space="preserve"> evaluate the work samples using the common rubrics</w:t>
      </w:r>
      <w:r w:rsidR="001B79B3">
        <w:rPr>
          <w:rFonts w:ascii="Times New Roman" w:eastAsia="Times New Roman" w:hAnsi="Times New Roman" w:cs="Times New Roman"/>
        </w:rPr>
        <w:t>,</w:t>
      </w:r>
      <w:r>
        <w:rPr>
          <w:rFonts w:ascii="Times New Roman" w:eastAsia="Times New Roman" w:hAnsi="Times New Roman" w:cs="Times New Roman"/>
        </w:rPr>
        <w:t xml:space="preserve"> and Blackboard</w:t>
      </w:r>
      <w:r w:rsidR="001B79B3">
        <w:rPr>
          <w:rFonts w:ascii="Times New Roman" w:eastAsia="Times New Roman" w:hAnsi="Times New Roman" w:cs="Times New Roman"/>
        </w:rPr>
        <w:t xml:space="preserve"> then</w:t>
      </w:r>
      <w:r>
        <w:rPr>
          <w:rFonts w:ascii="Times New Roman" w:eastAsia="Times New Roman" w:hAnsi="Times New Roman" w:cs="Times New Roman"/>
        </w:rPr>
        <w:t xml:space="preserve"> compiles a report of the results.</w:t>
      </w:r>
    </w:p>
    <w:p w14:paraId="5FBD1B75" w14:textId="77777777" w:rsidR="00935112" w:rsidRDefault="001B79B3" w:rsidP="001B79B3">
      <w:pPr>
        <w:spacing w:after="200" w:line="240" w:lineRule="auto"/>
        <w:ind w:firstLine="720"/>
      </w:pPr>
      <w:r>
        <w:rPr>
          <w:rFonts w:ascii="Times New Roman" w:eastAsia="Times New Roman" w:hAnsi="Times New Roman" w:cs="Times New Roman"/>
        </w:rPr>
        <w:t>AAC&amp;U VALUE</w:t>
      </w:r>
      <w:r w:rsidR="00007B56">
        <w:rPr>
          <w:rFonts w:ascii="Times New Roman" w:eastAsia="Times New Roman" w:hAnsi="Times New Roman" w:cs="Times New Roman"/>
        </w:rPr>
        <w:t xml:space="preserve"> rubrics are designed to review a portfolio of student work over the course of their undergraduate experience</w:t>
      </w:r>
      <w:r w:rsidR="007B7D59">
        <w:rPr>
          <w:rFonts w:ascii="Times New Roman" w:eastAsia="Times New Roman" w:hAnsi="Times New Roman" w:cs="Times New Roman"/>
        </w:rPr>
        <w:t xml:space="preserve"> (Rhodes</w:t>
      </w:r>
      <w:r w:rsidR="00A3439C">
        <w:rPr>
          <w:rFonts w:ascii="Times New Roman" w:eastAsia="Times New Roman" w:hAnsi="Times New Roman" w:cs="Times New Roman"/>
        </w:rPr>
        <w:t>, T.L., 2010; Rhodes, T.L. &amp; Finley, A.P., 2013)</w:t>
      </w:r>
      <w:r w:rsidR="00BE6196">
        <w:rPr>
          <w:rFonts w:ascii="Times New Roman" w:eastAsia="Times New Roman" w:hAnsi="Times New Roman" w:cs="Times New Roman"/>
        </w:rPr>
        <w:t>. As such, it</w:t>
      </w:r>
      <w:r>
        <w:rPr>
          <w:rFonts w:ascii="Times New Roman" w:eastAsia="Times New Roman" w:hAnsi="Times New Roman" w:cs="Times New Roman"/>
        </w:rPr>
        <w:t xml:space="preserve"> would not </w:t>
      </w:r>
      <w:r w:rsidR="00BE6196">
        <w:rPr>
          <w:rFonts w:ascii="Times New Roman" w:eastAsia="Times New Roman" w:hAnsi="Times New Roman" w:cs="Times New Roman"/>
        </w:rPr>
        <w:t xml:space="preserve">be </w:t>
      </w:r>
      <w:r>
        <w:rPr>
          <w:rFonts w:ascii="Times New Roman" w:eastAsia="Times New Roman" w:hAnsi="Times New Roman" w:cs="Times New Roman"/>
        </w:rPr>
        <w:t>expect</w:t>
      </w:r>
      <w:r w:rsidR="00BE6196">
        <w:rPr>
          <w:rFonts w:ascii="Times New Roman" w:eastAsia="Times New Roman" w:hAnsi="Times New Roman" w:cs="Times New Roman"/>
        </w:rPr>
        <w:t>ed for</w:t>
      </w:r>
      <w:r>
        <w:rPr>
          <w:rFonts w:ascii="Times New Roman" w:eastAsia="Times New Roman" w:hAnsi="Times New Roman" w:cs="Times New Roman"/>
        </w:rPr>
        <w:t xml:space="preserve"> f</w:t>
      </w:r>
      <w:r w:rsidR="00007B56">
        <w:rPr>
          <w:rFonts w:ascii="Times New Roman" w:eastAsia="Times New Roman" w:hAnsi="Times New Roman" w:cs="Times New Roman"/>
        </w:rPr>
        <w:t>irs</w:t>
      </w:r>
      <w:r>
        <w:rPr>
          <w:rFonts w:ascii="Times New Roman" w:eastAsia="Times New Roman" w:hAnsi="Times New Roman" w:cs="Times New Roman"/>
        </w:rPr>
        <w:t>t-y</w:t>
      </w:r>
      <w:r w:rsidR="00007B56">
        <w:rPr>
          <w:rFonts w:ascii="Times New Roman" w:eastAsia="Times New Roman" w:hAnsi="Times New Roman" w:cs="Times New Roman"/>
        </w:rPr>
        <w:t>ea</w:t>
      </w:r>
      <w:r w:rsidR="00010D12">
        <w:rPr>
          <w:rFonts w:ascii="Times New Roman" w:eastAsia="Times New Roman" w:hAnsi="Times New Roman" w:cs="Times New Roman"/>
        </w:rPr>
        <w:t xml:space="preserve">r students to score in the 3-4 </w:t>
      </w:r>
      <w:r w:rsidR="00007B56">
        <w:rPr>
          <w:rFonts w:ascii="Times New Roman" w:eastAsia="Times New Roman" w:hAnsi="Times New Roman" w:cs="Times New Roman"/>
        </w:rPr>
        <w:t xml:space="preserve">range on the rubric. More realistic goals for the Gateway Program would be for average scores in excess of 2.5 on a 4-point scale. In the summer of 2013, assessment teams reviewed samples of student work for </w:t>
      </w:r>
      <w:r w:rsidR="00007B56">
        <w:rPr>
          <w:rFonts w:ascii="Times New Roman" w:eastAsia="Times New Roman" w:hAnsi="Times New Roman" w:cs="Times New Roman"/>
          <w:i/>
        </w:rPr>
        <w:t>effective written communication</w:t>
      </w:r>
      <w:r w:rsidR="00007B56">
        <w:rPr>
          <w:rFonts w:ascii="Times New Roman" w:eastAsia="Times New Roman" w:hAnsi="Times New Roman" w:cs="Times New Roman"/>
        </w:rPr>
        <w:t xml:space="preserve"> and </w:t>
      </w:r>
      <w:r w:rsidR="00007B56">
        <w:rPr>
          <w:rFonts w:ascii="Times New Roman" w:eastAsia="Times New Roman" w:hAnsi="Times New Roman" w:cs="Times New Roman"/>
          <w:i/>
        </w:rPr>
        <w:t>information literacy</w:t>
      </w:r>
      <w:r w:rsidR="00007B56">
        <w:rPr>
          <w:rFonts w:ascii="Times New Roman" w:eastAsia="Times New Roman" w:hAnsi="Times New Roman" w:cs="Times New Roman"/>
        </w:rPr>
        <w:t xml:space="preserve">, as well as the quality of student reflections in the </w:t>
      </w:r>
      <w:proofErr w:type="spellStart"/>
      <w:r w:rsidR="00007B56">
        <w:rPr>
          <w:rFonts w:ascii="Times New Roman" w:eastAsia="Times New Roman" w:hAnsi="Times New Roman" w:cs="Times New Roman"/>
        </w:rPr>
        <w:t>ePortfolios</w:t>
      </w:r>
      <w:proofErr w:type="spellEnd"/>
      <w:r w:rsidR="00007B56">
        <w:rPr>
          <w:rFonts w:ascii="Times New Roman" w:eastAsia="Times New Roman" w:hAnsi="Times New Roman" w:cs="Times New Roman"/>
        </w:rPr>
        <w:t xml:space="preserve">. Results are described in the tables below. </w:t>
      </w:r>
    </w:p>
    <w:p w14:paraId="74D33D54" w14:textId="77777777" w:rsidR="00C07EA2" w:rsidRDefault="00C07EA2" w:rsidP="001B79B3">
      <w:pPr>
        <w:spacing w:after="200" w:line="240" w:lineRule="auto"/>
        <w:rPr>
          <w:rFonts w:ascii="Times New Roman" w:eastAsia="Times New Roman" w:hAnsi="Times New Roman" w:cs="Times New Roman"/>
          <w:sz w:val="18"/>
        </w:rPr>
      </w:pPr>
    </w:p>
    <w:p w14:paraId="66E4B9F2" w14:textId="77777777" w:rsidR="00C07EA2" w:rsidRDefault="00C07EA2" w:rsidP="001B79B3">
      <w:pPr>
        <w:spacing w:after="200" w:line="240" w:lineRule="auto"/>
        <w:rPr>
          <w:rFonts w:ascii="Times New Roman" w:eastAsia="Times New Roman" w:hAnsi="Times New Roman" w:cs="Times New Roman"/>
          <w:sz w:val="18"/>
        </w:rPr>
      </w:pPr>
    </w:p>
    <w:p w14:paraId="6FBE719F" w14:textId="77777777" w:rsidR="00935112" w:rsidRDefault="001B79B3" w:rsidP="009C2A58">
      <w:pPr>
        <w:spacing w:line="240" w:lineRule="auto"/>
      </w:pPr>
      <w:r>
        <w:rPr>
          <w:rFonts w:ascii="Times New Roman" w:eastAsia="Times New Roman" w:hAnsi="Times New Roman" w:cs="Times New Roman"/>
          <w:sz w:val="18"/>
        </w:rPr>
        <w:t>Table 1</w:t>
      </w:r>
      <w:r w:rsidR="00007B56">
        <w:rPr>
          <w:rFonts w:ascii="Times New Roman" w:eastAsia="Times New Roman" w:hAnsi="Times New Roman" w:cs="Times New Roman"/>
          <w:sz w:val="18"/>
        </w:rPr>
        <w:t xml:space="preserve">:  </w:t>
      </w:r>
      <w:r w:rsidR="00007B56">
        <w:rPr>
          <w:rFonts w:ascii="Times New Roman" w:eastAsia="Times New Roman" w:hAnsi="Times New Roman" w:cs="Times New Roman"/>
          <w:i/>
          <w:sz w:val="18"/>
        </w:rPr>
        <w:t>Written Communication Assessment Results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35112" w14:paraId="457574BA" w14:textId="77777777">
        <w:tc>
          <w:tcPr>
            <w:tcW w:w="4680" w:type="dxa"/>
            <w:tcMar>
              <w:top w:w="100" w:type="dxa"/>
              <w:left w:w="100" w:type="dxa"/>
              <w:bottom w:w="100" w:type="dxa"/>
              <w:right w:w="100" w:type="dxa"/>
            </w:tcMar>
          </w:tcPr>
          <w:p w14:paraId="7819D280" w14:textId="77777777" w:rsidR="00935112" w:rsidRPr="009C2A58" w:rsidRDefault="00007B56">
            <w:pPr>
              <w:spacing w:line="240" w:lineRule="auto"/>
              <w:rPr>
                <w:b/>
              </w:rPr>
            </w:pPr>
            <w:r w:rsidRPr="009C2A58">
              <w:rPr>
                <w:rFonts w:ascii="Times New Roman" w:eastAsia="Times New Roman" w:hAnsi="Times New Roman" w:cs="Times New Roman"/>
                <w:b/>
                <w:sz w:val="18"/>
              </w:rPr>
              <w:t xml:space="preserve">Written Communication Rubric </w:t>
            </w:r>
          </w:p>
        </w:tc>
        <w:tc>
          <w:tcPr>
            <w:tcW w:w="4680" w:type="dxa"/>
            <w:tcMar>
              <w:top w:w="100" w:type="dxa"/>
              <w:left w:w="100" w:type="dxa"/>
              <w:bottom w:w="100" w:type="dxa"/>
              <w:right w:w="100" w:type="dxa"/>
            </w:tcMar>
          </w:tcPr>
          <w:p w14:paraId="11AD6E84" w14:textId="77777777" w:rsidR="00935112" w:rsidRPr="009C2A58" w:rsidRDefault="00007B56">
            <w:pPr>
              <w:spacing w:line="240" w:lineRule="auto"/>
              <w:rPr>
                <w:b/>
              </w:rPr>
            </w:pPr>
            <w:r w:rsidRPr="009C2A58">
              <w:rPr>
                <w:rFonts w:ascii="Times New Roman" w:eastAsia="Times New Roman" w:hAnsi="Times New Roman" w:cs="Times New Roman"/>
                <w:b/>
                <w:sz w:val="18"/>
              </w:rPr>
              <w:t>Score</w:t>
            </w:r>
            <w:r w:rsidR="001B79B3" w:rsidRPr="009C2A58">
              <w:rPr>
                <w:rFonts w:ascii="Times New Roman" w:eastAsia="Times New Roman" w:hAnsi="Times New Roman" w:cs="Times New Roman"/>
                <w:b/>
                <w:sz w:val="18"/>
              </w:rPr>
              <w:t>s</w:t>
            </w:r>
            <w:r w:rsidRPr="009C2A58">
              <w:rPr>
                <w:rFonts w:ascii="Times New Roman" w:eastAsia="Times New Roman" w:hAnsi="Times New Roman" w:cs="Times New Roman"/>
                <w:b/>
                <w:sz w:val="18"/>
              </w:rPr>
              <w:t xml:space="preserve"> Based on Four-Point Scale</w:t>
            </w:r>
          </w:p>
        </w:tc>
      </w:tr>
      <w:tr w:rsidR="00935112" w14:paraId="28DE2BAC" w14:textId="77777777">
        <w:tc>
          <w:tcPr>
            <w:tcW w:w="4680" w:type="dxa"/>
            <w:tcMar>
              <w:top w:w="100" w:type="dxa"/>
              <w:left w:w="100" w:type="dxa"/>
              <w:bottom w:w="100" w:type="dxa"/>
              <w:right w:w="100" w:type="dxa"/>
            </w:tcMar>
          </w:tcPr>
          <w:p w14:paraId="460BD4F1" w14:textId="77777777" w:rsidR="00935112" w:rsidRDefault="00007B56">
            <w:pPr>
              <w:spacing w:line="240" w:lineRule="auto"/>
            </w:pPr>
            <w:r>
              <w:rPr>
                <w:rFonts w:ascii="Times New Roman" w:eastAsia="Times New Roman" w:hAnsi="Times New Roman" w:cs="Times New Roman"/>
                <w:sz w:val="18"/>
              </w:rPr>
              <w:t>Context and Purpose for Writing</w:t>
            </w:r>
          </w:p>
        </w:tc>
        <w:tc>
          <w:tcPr>
            <w:tcW w:w="4680" w:type="dxa"/>
            <w:tcMar>
              <w:top w:w="100" w:type="dxa"/>
              <w:left w:w="100" w:type="dxa"/>
              <w:bottom w:w="100" w:type="dxa"/>
              <w:right w:w="100" w:type="dxa"/>
            </w:tcMar>
          </w:tcPr>
          <w:p w14:paraId="4EF5056E" w14:textId="77777777" w:rsidR="00935112" w:rsidRDefault="00007B56">
            <w:pPr>
              <w:spacing w:line="240" w:lineRule="auto"/>
            </w:pPr>
            <w:r>
              <w:rPr>
                <w:rFonts w:ascii="Times New Roman" w:eastAsia="Times New Roman" w:hAnsi="Times New Roman" w:cs="Times New Roman"/>
                <w:sz w:val="18"/>
              </w:rPr>
              <w:t>2.49</w:t>
            </w:r>
          </w:p>
        </w:tc>
      </w:tr>
      <w:tr w:rsidR="00935112" w14:paraId="1E2B82F0" w14:textId="77777777">
        <w:tc>
          <w:tcPr>
            <w:tcW w:w="4680" w:type="dxa"/>
            <w:tcMar>
              <w:top w:w="100" w:type="dxa"/>
              <w:left w:w="100" w:type="dxa"/>
              <w:bottom w:w="100" w:type="dxa"/>
              <w:right w:w="100" w:type="dxa"/>
            </w:tcMar>
          </w:tcPr>
          <w:p w14:paraId="6E3E2FBC" w14:textId="77777777" w:rsidR="00935112" w:rsidRDefault="00007B56">
            <w:pPr>
              <w:spacing w:line="240" w:lineRule="auto"/>
            </w:pPr>
            <w:r>
              <w:rPr>
                <w:rFonts w:ascii="Times New Roman" w:eastAsia="Times New Roman" w:hAnsi="Times New Roman" w:cs="Times New Roman"/>
                <w:sz w:val="18"/>
              </w:rPr>
              <w:t>Genre and Disciplinary Conventions</w:t>
            </w:r>
          </w:p>
        </w:tc>
        <w:tc>
          <w:tcPr>
            <w:tcW w:w="4680" w:type="dxa"/>
            <w:tcMar>
              <w:top w:w="100" w:type="dxa"/>
              <w:left w:w="100" w:type="dxa"/>
              <w:bottom w:w="100" w:type="dxa"/>
              <w:right w:w="100" w:type="dxa"/>
            </w:tcMar>
          </w:tcPr>
          <w:p w14:paraId="62BA3FB9" w14:textId="77777777" w:rsidR="00935112" w:rsidRDefault="00007B56">
            <w:pPr>
              <w:spacing w:line="240" w:lineRule="auto"/>
            </w:pPr>
            <w:r>
              <w:rPr>
                <w:rFonts w:ascii="Times New Roman" w:eastAsia="Times New Roman" w:hAnsi="Times New Roman" w:cs="Times New Roman"/>
                <w:sz w:val="18"/>
              </w:rPr>
              <w:t>2.33</w:t>
            </w:r>
          </w:p>
        </w:tc>
      </w:tr>
      <w:tr w:rsidR="00935112" w14:paraId="7469CCB5" w14:textId="77777777">
        <w:tc>
          <w:tcPr>
            <w:tcW w:w="4680" w:type="dxa"/>
            <w:tcMar>
              <w:top w:w="100" w:type="dxa"/>
              <w:left w:w="100" w:type="dxa"/>
              <w:bottom w:w="100" w:type="dxa"/>
              <w:right w:w="100" w:type="dxa"/>
            </w:tcMar>
          </w:tcPr>
          <w:p w14:paraId="064AE5CA" w14:textId="77777777" w:rsidR="00935112" w:rsidRDefault="00007B56">
            <w:pPr>
              <w:spacing w:line="240" w:lineRule="auto"/>
            </w:pPr>
            <w:r>
              <w:rPr>
                <w:rFonts w:ascii="Times New Roman" w:eastAsia="Times New Roman" w:hAnsi="Times New Roman" w:cs="Times New Roman"/>
                <w:sz w:val="18"/>
              </w:rPr>
              <w:t>Sources and Evidence</w:t>
            </w:r>
          </w:p>
        </w:tc>
        <w:tc>
          <w:tcPr>
            <w:tcW w:w="4680" w:type="dxa"/>
            <w:tcMar>
              <w:top w:w="100" w:type="dxa"/>
              <w:left w:w="100" w:type="dxa"/>
              <w:bottom w:w="100" w:type="dxa"/>
              <w:right w:w="100" w:type="dxa"/>
            </w:tcMar>
          </w:tcPr>
          <w:p w14:paraId="025E3D7E" w14:textId="77777777" w:rsidR="00935112" w:rsidRDefault="00007B56">
            <w:pPr>
              <w:spacing w:line="240" w:lineRule="auto"/>
            </w:pPr>
            <w:r>
              <w:rPr>
                <w:rFonts w:ascii="Times New Roman" w:eastAsia="Times New Roman" w:hAnsi="Times New Roman" w:cs="Times New Roman"/>
                <w:sz w:val="18"/>
              </w:rPr>
              <w:t>2.23</w:t>
            </w:r>
          </w:p>
        </w:tc>
      </w:tr>
      <w:tr w:rsidR="00935112" w14:paraId="079AE249" w14:textId="77777777" w:rsidTr="003270FE">
        <w:trPr>
          <w:trHeight w:val="330"/>
        </w:trPr>
        <w:tc>
          <w:tcPr>
            <w:tcW w:w="4680" w:type="dxa"/>
            <w:tcMar>
              <w:top w:w="100" w:type="dxa"/>
              <w:left w:w="100" w:type="dxa"/>
              <w:bottom w:w="100" w:type="dxa"/>
              <w:right w:w="100" w:type="dxa"/>
            </w:tcMar>
          </w:tcPr>
          <w:p w14:paraId="19DF35F8" w14:textId="77777777" w:rsidR="00935112" w:rsidRDefault="00007B56">
            <w:pPr>
              <w:spacing w:line="240" w:lineRule="auto"/>
            </w:pPr>
            <w:r>
              <w:rPr>
                <w:rFonts w:ascii="Times New Roman" w:eastAsia="Times New Roman" w:hAnsi="Times New Roman" w:cs="Times New Roman"/>
                <w:sz w:val="18"/>
              </w:rPr>
              <w:t>Control of Syntax and Mechanics</w:t>
            </w:r>
          </w:p>
        </w:tc>
        <w:tc>
          <w:tcPr>
            <w:tcW w:w="4680" w:type="dxa"/>
            <w:tcMar>
              <w:top w:w="100" w:type="dxa"/>
              <w:left w:w="100" w:type="dxa"/>
              <w:bottom w:w="100" w:type="dxa"/>
              <w:right w:w="100" w:type="dxa"/>
            </w:tcMar>
          </w:tcPr>
          <w:p w14:paraId="23261907" w14:textId="77777777" w:rsidR="00935112" w:rsidRDefault="00007B56">
            <w:pPr>
              <w:spacing w:line="240" w:lineRule="auto"/>
            </w:pPr>
            <w:r>
              <w:rPr>
                <w:rFonts w:ascii="Times New Roman" w:eastAsia="Times New Roman" w:hAnsi="Times New Roman" w:cs="Times New Roman"/>
                <w:sz w:val="18"/>
              </w:rPr>
              <w:t>2.58</w:t>
            </w:r>
          </w:p>
        </w:tc>
      </w:tr>
    </w:tbl>
    <w:p w14:paraId="5BE7BB99" w14:textId="77777777" w:rsidR="001B79B3" w:rsidRDefault="001B79B3" w:rsidP="001B79B3">
      <w:pPr>
        <w:spacing w:after="200" w:line="240" w:lineRule="auto"/>
      </w:pPr>
    </w:p>
    <w:p w14:paraId="6414B572" w14:textId="77777777" w:rsidR="00935112" w:rsidRDefault="001B79B3" w:rsidP="009C2A58">
      <w:pPr>
        <w:spacing w:line="240" w:lineRule="auto"/>
      </w:pPr>
      <w:r>
        <w:rPr>
          <w:rFonts w:ascii="Times New Roman" w:eastAsia="Times New Roman" w:hAnsi="Times New Roman" w:cs="Times New Roman"/>
          <w:sz w:val="18"/>
        </w:rPr>
        <w:t>Table 2</w:t>
      </w:r>
      <w:r w:rsidR="00007B56">
        <w:rPr>
          <w:rFonts w:ascii="Times New Roman" w:eastAsia="Times New Roman" w:hAnsi="Times New Roman" w:cs="Times New Roman"/>
          <w:sz w:val="18"/>
        </w:rPr>
        <w:t xml:space="preserve">: </w:t>
      </w:r>
      <w:r w:rsidR="00010D12">
        <w:rPr>
          <w:rFonts w:ascii="Times New Roman" w:eastAsia="Times New Roman" w:hAnsi="Times New Roman" w:cs="Times New Roman"/>
          <w:i/>
          <w:sz w:val="18"/>
        </w:rPr>
        <w:t xml:space="preserve">Information Literacy </w:t>
      </w:r>
      <w:r w:rsidR="00007B56">
        <w:rPr>
          <w:rFonts w:ascii="Times New Roman" w:eastAsia="Times New Roman" w:hAnsi="Times New Roman" w:cs="Times New Roman"/>
          <w:i/>
          <w:sz w:val="18"/>
        </w:rPr>
        <w:t>Assessment Results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35112" w14:paraId="393D1913" w14:textId="77777777">
        <w:tc>
          <w:tcPr>
            <w:tcW w:w="4680" w:type="dxa"/>
            <w:tcMar>
              <w:top w:w="100" w:type="dxa"/>
              <w:left w:w="100" w:type="dxa"/>
              <w:bottom w:w="100" w:type="dxa"/>
              <w:right w:w="100" w:type="dxa"/>
            </w:tcMar>
          </w:tcPr>
          <w:p w14:paraId="0981C097" w14:textId="77777777" w:rsidR="00935112" w:rsidRPr="009C2A58" w:rsidRDefault="00007B56">
            <w:pPr>
              <w:spacing w:line="240" w:lineRule="auto"/>
              <w:rPr>
                <w:b/>
              </w:rPr>
            </w:pPr>
            <w:r w:rsidRPr="009C2A58">
              <w:rPr>
                <w:rFonts w:ascii="Times New Roman" w:eastAsia="Times New Roman" w:hAnsi="Times New Roman" w:cs="Times New Roman"/>
                <w:b/>
                <w:sz w:val="18"/>
              </w:rPr>
              <w:t xml:space="preserve">Information Literacy  Rubric </w:t>
            </w:r>
          </w:p>
        </w:tc>
        <w:tc>
          <w:tcPr>
            <w:tcW w:w="4680" w:type="dxa"/>
            <w:tcMar>
              <w:top w:w="100" w:type="dxa"/>
              <w:left w:w="100" w:type="dxa"/>
              <w:bottom w:w="100" w:type="dxa"/>
              <w:right w:w="100" w:type="dxa"/>
            </w:tcMar>
          </w:tcPr>
          <w:p w14:paraId="51C62317" w14:textId="77777777" w:rsidR="00935112" w:rsidRPr="009C2A58" w:rsidRDefault="00007B56">
            <w:pPr>
              <w:spacing w:line="240" w:lineRule="auto"/>
              <w:rPr>
                <w:b/>
              </w:rPr>
            </w:pPr>
            <w:r w:rsidRPr="009C2A58">
              <w:rPr>
                <w:rFonts w:ascii="Times New Roman" w:eastAsia="Times New Roman" w:hAnsi="Times New Roman" w:cs="Times New Roman"/>
                <w:b/>
                <w:sz w:val="18"/>
              </w:rPr>
              <w:t>Score</w:t>
            </w:r>
            <w:r w:rsidR="001B79B3" w:rsidRPr="009C2A58">
              <w:rPr>
                <w:rFonts w:ascii="Times New Roman" w:eastAsia="Times New Roman" w:hAnsi="Times New Roman" w:cs="Times New Roman"/>
                <w:b/>
                <w:sz w:val="18"/>
              </w:rPr>
              <w:t>s</w:t>
            </w:r>
            <w:r w:rsidRPr="009C2A58">
              <w:rPr>
                <w:rFonts w:ascii="Times New Roman" w:eastAsia="Times New Roman" w:hAnsi="Times New Roman" w:cs="Times New Roman"/>
                <w:b/>
                <w:sz w:val="18"/>
              </w:rPr>
              <w:t xml:space="preserve"> Based on Four-Point Scale</w:t>
            </w:r>
          </w:p>
        </w:tc>
      </w:tr>
      <w:tr w:rsidR="00935112" w14:paraId="5C1ED6DC" w14:textId="77777777">
        <w:tc>
          <w:tcPr>
            <w:tcW w:w="4680" w:type="dxa"/>
            <w:tcMar>
              <w:top w:w="100" w:type="dxa"/>
              <w:left w:w="100" w:type="dxa"/>
              <w:bottom w:w="100" w:type="dxa"/>
              <w:right w:w="100" w:type="dxa"/>
            </w:tcMar>
          </w:tcPr>
          <w:p w14:paraId="77F7C112" w14:textId="77777777" w:rsidR="00935112" w:rsidRDefault="00007B56">
            <w:pPr>
              <w:spacing w:line="240" w:lineRule="auto"/>
            </w:pPr>
            <w:r>
              <w:rPr>
                <w:rFonts w:ascii="Times New Roman" w:eastAsia="Times New Roman" w:hAnsi="Times New Roman" w:cs="Times New Roman"/>
                <w:sz w:val="18"/>
              </w:rPr>
              <w:t>Determine Extent of Information Needed</w:t>
            </w:r>
          </w:p>
        </w:tc>
        <w:tc>
          <w:tcPr>
            <w:tcW w:w="4680" w:type="dxa"/>
            <w:tcMar>
              <w:top w:w="100" w:type="dxa"/>
              <w:left w:w="100" w:type="dxa"/>
              <w:bottom w:w="100" w:type="dxa"/>
              <w:right w:w="100" w:type="dxa"/>
            </w:tcMar>
          </w:tcPr>
          <w:p w14:paraId="76B6C134" w14:textId="77777777" w:rsidR="00935112" w:rsidRDefault="00007B56">
            <w:pPr>
              <w:spacing w:line="240" w:lineRule="auto"/>
            </w:pPr>
            <w:r>
              <w:rPr>
                <w:rFonts w:ascii="Times New Roman" w:eastAsia="Times New Roman" w:hAnsi="Times New Roman" w:cs="Times New Roman"/>
                <w:sz w:val="18"/>
              </w:rPr>
              <w:t>2.40</w:t>
            </w:r>
          </w:p>
        </w:tc>
      </w:tr>
      <w:tr w:rsidR="00935112" w14:paraId="2B98DF53" w14:textId="77777777">
        <w:tc>
          <w:tcPr>
            <w:tcW w:w="4680" w:type="dxa"/>
            <w:tcMar>
              <w:top w:w="100" w:type="dxa"/>
              <w:left w:w="100" w:type="dxa"/>
              <w:bottom w:w="100" w:type="dxa"/>
              <w:right w:w="100" w:type="dxa"/>
            </w:tcMar>
          </w:tcPr>
          <w:p w14:paraId="26259036" w14:textId="77777777" w:rsidR="00935112" w:rsidRDefault="008B5E44">
            <w:pPr>
              <w:spacing w:line="240" w:lineRule="auto"/>
            </w:pPr>
            <w:r>
              <w:rPr>
                <w:rFonts w:ascii="Times New Roman" w:eastAsia="Times New Roman" w:hAnsi="Times New Roman" w:cs="Times New Roman"/>
                <w:sz w:val="18"/>
              </w:rPr>
              <w:t>Access N</w:t>
            </w:r>
            <w:r w:rsidR="00007B56">
              <w:rPr>
                <w:rFonts w:ascii="Times New Roman" w:eastAsia="Times New Roman" w:hAnsi="Times New Roman" w:cs="Times New Roman"/>
                <w:sz w:val="18"/>
              </w:rPr>
              <w:t>eeded Information</w:t>
            </w:r>
          </w:p>
        </w:tc>
        <w:tc>
          <w:tcPr>
            <w:tcW w:w="4680" w:type="dxa"/>
            <w:tcMar>
              <w:top w:w="100" w:type="dxa"/>
              <w:left w:w="100" w:type="dxa"/>
              <w:bottom w:w="100" w:type="dxa"/>
              <w:right w:w="100" w:type="dxa"/>
            </w:tcMar>
          </w:tcPr>
          <w:p w14:paraId="0A1A3CBD" w14:textId="77777777" w:rsidR="00935112" w:rsidRDefault="00007B56">
            <w:pPr>
              <w:spacing w:line="240" w:lineRule="auto"/>
            </w:pPr>
            <w:r>
              <w:rPr>
                <w:rFonts w:ascii="Times New Roman" w:eastAsia="Times New Roman" w:hAnsi="Times New Roman" w:cs="Times New Roman"/>
                <w:sz w:val="18"/>
              </w:rPr>
              <w:t>2.21</w:t>
            </w:r>
          </w:p>
        </w:tc>
      </w:tr>
      <w:tr w:rsidR="00935112" w14:paraId="2FA4D1F9" w14:textId="77777777">
        <w:tc>
          <w:tcPr>
            <w:tcW w:w="4680" w:type="dxa"/>
            <w:tcMar>
              <w:top w:w="100" w:type="dxa"/>
              <w:left w:w="100" w:type="dxa"/>
              <w:bottom w:w="100" w:type="dxa"/>
              <w:right w:w="100" w:type="dxa"/>
            </w:tcMar>
          </w:tcPr>
          <w:p w14:paraId="22BC43A1" w14:textId="77777777" w:rsidR="00935112" w:rsidRDefault="00007B56">
            <w:pPr>
              <w:spacing w:line="240" w:lineRule="auto"/>
            </w:pPr>
            <w:r>
              <w:rPr>
                <w:rFonts w:ascii="Times New Roman" w:eastAsia="Times New Roman" w:hAnsi="Times New Roman" w:cs="Times New Roman"/>
                <w:sz w:val="18"/>
              </w:rPr>
              <w:t>Evaluate Information and Sources Critically</w:t>
            </w:r>
          </w:p>
        </w:tc>
        <w:tc>
          <w:tcPr>
            <w:tcW w:w="4680" w:type="dxa"/>
            <w:tcMar>
              <w:top w:w="100" w:type="dxa"/>
              <w:left w:w="100" w:type="dxa"/>
              <w:bottom w:w="100" w:type="dxa"/>
              <w:right w:w="100" w:type="dxa"/>
            </w:tcMar>
          </w:tcPr>
          <w:p w14:paraId="2B7B2E1D" w14:textId="77777777" w:rsidR="00935112" w:rsidRDefault="00007B56">
            <w:pPr>
              <w:spacing w:line="240" w:lineRule="auto"/>
            </w:pPr>
            <w:r>
              <w:rPr>
                <w:rFonts w:ascii="Times New Roman" w:eastAsia="Times New Roman" w:hAnsi="Times New Roman" w:cs="Times New Roman"/>
                <w:sz w:val="18"/>
              </w:rPr>
              <w:t>1.99</w:t>
            </w:r>
          </w:p>
        </w:tc>
      </w:tr>
      <w:tr w:rsidR="00935112" w14:paraId="46EF18D9" w14:textId="77777777">
        <w:tc>
          <w:tcPr>
            <w:tcW w:w="4680" w:type="dxa"/>
            <w:tcMar>
              <w:top w:w="100" w:type="dxa"/>
              <w:left w:w="100" w:type="dxa"/>
              <w:bottom w:w="100" w:type="dxa"/>
              <w:right w:w="100" w:type="dxa"/>
            </w:tcMar>
          </w:tcPr>
          <w:p w14:paraId="61180337" w14:textId="77777777" w:rsidR="00935112" w:rsidRDefault="00007B56">
            <w:pPr>
              <w:spacing w:line="240" w:lineRule="auto"/>
            </w:pPr>
            <w:r>
              <w:rPr>
                <w:rFonts w:ascii="Times New Roman" w:eastAsia="Times New Roman" w:hAnsi="Times New Roman" w:cs="Times New Roman"/>
                <w:sz w:val="18"/>
              </w:rPr>
              <w:t>Use Information Effectively for Specific Purpose</w:t>
            </w:r>
          </w:p>
        </w:tc>
        <w:tc>
          <w:tcPr>
            <w:tcW w:w="4680" w:type="dxa"/>
            <w:tcMar>
              <w:top w:w="100" w:type="dxa"/>
              <w:left w:w="100" w:type="dxa"/>
              <w:bottom w:w="100" w:type="dxa"/>
              <w:right w:w="100" w:type="dxa"/>
            </w:tcMar>
          </w:tcPr>
          <w:p w14:paraId="714032F0" w14:textId="77777777" w:rsidR="00935112" w:rsidRDefault="00007B56">
            <w:pPr>
              <w:spacing w:line="240" w:lineRule="auto"/>
            </w:pPr>
            <w:r>
              <w:rPr>
                <w:rFonts w:ascii="Times New Roman" w:eastAsia="Times New Roman" w:hAnsi="Times New Roman" w:cs="Times New Roman"/>
                <w:sz w:val="18"/>
              </w:rPr>
              <w:t>2.36</w:t>
            </w:r>
          </w:p>
        </w:tc>
      </w:tr>
      <w:tr w:rsidR="00935112" w14:paraId="36A5B554" w14:textId="77777777">
        <w:tc>
          <w:tcPr>
            <w:tcW w:w="4680" w:type="dxa"/>
            <w:tcMar>
              <w:top w:w="100" w:type="dxa"/>
              <w:left w:w="100" w:type="dxa"/>
              <w:bottom w:w="100" w:type="dxa"/>
              <w:right w:w="100" w:type="dxa"/>
            </w:tcMar>
          </w:tcPr>
          <w:p w14:paraId="5D9919D1" w14:textId="77777777" w:rsidR="00935112" w:rsidRDefault="00007B56">
            <w:pPr>
              <w:spacing w:line="240" w:lineRule="auto"/>
            </w:pPr>
            <w:r>
              <w:rPr>
                <w:rFonts w:ascii="Times New Roman" w:eastAsia="Times New Roman" w:hAnsi="Times New Roman" w:cs="Times New Roman"/>
                <w:sz w:val="18"/>
              </w:rPr>
              <w:t>Access and Use Information Ethically and Legally</w:t>
            </w:r>
          </w:p>
        </w:tc>
        <w:tc>
          <w:tcPr>
            <w:tcW w:w="4680" w:type="dxa"/>
            <w:tcMar>
              <w:top w:w="100" w:type="dxa"/>
              <w:left w:w="100" w:type="dxa"/>
              <w:bottom w:w="100" w:type="dxa"/>
              <w:right w:w="100" w:type="dxa"/>
            </w:tcMar>
          </w:tcPr>
          <w:p w14:paraId="558050B9" w14:textId="77777777" w:rsidR="00935112" w:rsidRDefault="00007B56">
            <w:pPr>
              <w:spacing w:line="240" w:lineRule="auto"/>
            </w:pPr>
            <w:r>
              <w:rPr>
                <w:rFonts w:ascii="Times New Roman" w:eastAsia="Times New Roman" w:hAnsi="Times New Roman" w:cs="Times New Roman"/>
                <w:sz w:val="18"/>
              </w:rPr>
              <w:t>2.32</w:t>
            </w:r>
          </w:p>
        </w:tc>
      </w:tr>
    </w:tbl>
    <w:p w14:paraId="0E2A357B" w14:textId="77777777" w:rsidR="00935112" w:rsidRDefault="00935112">
      <w:pPr>
        <w:spacing w:after="200" w:line="240" w:lineRule="auto"/>
      </w:pPr>
    </w:p>
    <w:p w14:paraId="04525A9F" w14:textId="77777777" w:rsidR="00935112" w:rsidRDefault="001B79B3" w:rsidP="009C2A58">
      <w:pPr>
        <w:spacing w:line="240" w:lineRule="auto"/>
      </w:pPr>
      <w:r>
        <w:rPr>
          <w:rFonts w:ascii="Times New Roman" w:eastAsia="Times New Roman" w:hAnsi="Times New Roman" w:cs="Times New Roman"/>
          <w:sz w:val="18"/>
        </w:rPr>
        <w:t>Table 3</w:t>
      </w:r>
      <w:r w:rsidR="00007B56">
        <w:rPr>
          <w:rFonts w:ascii="Times New Roman" w:eastAsia="Times New Roman" w:hAnsi="Times New Roman" w:cs="Times New Roman"/>
          <w:sz w:val="18"/>
        </w:rPr>
        <w:t xml:space="preserve">: </w:t>
      </w:r>
      <w:r w:rsidR="00007B56">
        <w:rPr>
          <w:rFonts w:ascii="Times New Roman" w:eastAsia="Times New Roman" w:hAnsi="Times New Roman" w:cs="Times New Roman"/>
          <w:i/>
          <w:sz w:val="18"/>
        </w:rPr>
        <w:t>Reflection Assessment Results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35112" w14:paraId="78107C48" w14:textId="77777777">
        <w:tc>
          <w:tcPr>
            <w:tcW w:w="4680" w:type="dxa"/>
            <w:tcMar>
              <w:top w:w="100" w:type="dxa"/>
              <w:left w:w="100" w:type="dxa"/>
              <w:bottom w:w="100" w:type="dxa"/>
              <w:right w:w="100" w:type="dxa"/>
            </w:tcMar>
          </w:tcPr>
          <w:p w14:paraId="666B3C4F" w14:textId="77777777" w:rsidR="00935112" w:rsidRPr="009C2A58" w:rsidRDefault="00007B56">
            <w:pPr>
              <w:spacing w:line="240" w:lineRule="auto"/>
              <w:rPr>
                <w:b/>
              </w:rPr>
            </w:pPr>
            <w:r w:rsidRPr="009C2A58">
              <w:rPr>
                <w:rFonts w:ascii="Times New Roman" w:eastAsia="Times New Roman" w:hAnsi="Times New Roman" w:cs="Times New Roman"/>
                <w:b/>
                <w:sz w:val="18"/>
              </w:rPr>
              <w:t>Reflection Rubric</w:t>
            </w:r>
          </w:p>
        </w:tc>
        <w:tc>
          <w:tcPr>
            <w:tcW w:w="4680" w:type="dxa"/>
            <w:tcMar>
              <w:top w:w="100" w:type="dxa"/>
              <w:left w:w="100" w:type="dxa"/>
              <w:bottom w:w="100" w:type="dxa"/>
              <w:right w:w="100" w:type="dxa"/>
            </w:tcMar>
          </w:tcPr>
          <w:p w14:paraId="3AF58588" w14:textId="77777777" w:rsidR="00935112" w:rsidRPr="009C2A58" w:rsidRDefault="00007B56">
            <w:pPr>
              <w:spacing w:line="240" w:lineRule="auto"/>
              <w:rPr>
                <w:b/>
              </w:rPr>
            </w:pPr>
            <w:r w:rsidRPr="009C2A58">
              <w:rPr>
                <w:rFonts w:ascii="Times New Roman" w:eastAsia="Times New Roman" w:hAnsi="Times New Roman" w:cs="Times New Roman"/>
                <w:b/>
                <w:sz w:val="18"/>
              </w:rPr>
              <w:t>Score</w:t>
            </w:r>
            <w:r w:rsidR="001B79B3" w:rsidRPr="009C2A58">
              <w:rPr>
                <w:rFonts w:ascii="Times New Roman" w:eastAsia="Times New Roman" w:hAnsi="Times New Roman" w:cs="Times New Roman"/>
                <w:b/>
                <w:sz w:val="18"/>
              </w:rPr>
              <w:t>s</w:t>
            </w:r>
            <w:r w:rsidRPr="009C2A58">
              <w:rPr>
                <w:rFonts w:ascii="Times New Roman" w:eastAsia="Times New Roman" w:hAnsi="Times New Roman" w:cs="Times New Roman"/>
                <w:b/>
                <w:sz w:val="18"/>
              </w:rPr>
              <w:t xml:space="preserve"> Based on Four-Point Scale</w:t>
            </w:r>
          </w:p>
        </w:tc>
      </w:tr>
      <w:tr w:rsidR="00935112" w14:paraId="69825583" w14:textId="77777777">
        <w:tc>
          <w:tcPr>
            <w:tcW w:w="4680" w:type="dxa"/>
            <w:tcMar>
              <w:top w:w="100" w:type="dxa"/>
              <w:left w:w="100" w:type="dxa"/>
              <w:bottom w:w="100" w:type="dxa"/>
              <w:right w:w="100" w:type="dxa"/>
            </w:tcMar>
          </w:tcPr>
          <w:p w14:paraId="2B7CDA1B" w14:textId="77777777" w:rsidR="00935112" w:rsidRDefault="00007B56">
            <w:pPr>
              <w:spacing w:line="240" w:lineRule="auto"/>
            </w:pPr>
            <w:r>
              <w:rPr>
                <w:rFonts w:ascii="Times New Roman" w:eastAsia="Times New Roman" w:hAnsi="Times New Roman" w:cs="Times New Roman"/>
                <w:sz w:val="18"/>
              </w:rPr>
              <w:t>Clarity</w:t>
            </w:r>
          </w:p>
        </w:tc>
        <w:tc>
          <w:tcPr>
            <w:tcW w:w="4680" w:type="dxa"/>
            <w:tcMar>
              <w:top w:w="100" w:type="dxa"/>
              <w:left w:w="100" w:type="dxa"/>
              <w:bottom w:w="100" w:type="dxa"/>
              <w:right w:w="100" w:type="dxa"/>
            </w:tcMar>
          </w:tcPr>
          <w:p w14:paraId="6FC812B3" w14:textId="77777777" w:rsidR="00935112" w:rsidRDefault="00007B56">
            <w:pPr>
              <w:spacing w:line="240" w:lineRule="auto"/>
            </w:pPr>
            <w:r>
              <w:rPr>
                <w:rFonts w:ascii="Times New Roman" w:eastAsia="Times New Roman" w:hAnsi="Times New Roman" w:cs="Times New Roman"/>
                <w:sz w:val="18"/>
              </w:rPr>
              <w:t>2.62</w:t>
            </w:r>
          </w:p>
        </w:tc>
      </w:tr>
      <w:tr w:rsidR="00935112" w14:paraId="067BE0DF" w14:textId="77777777">
        <w:tc>
          <w:tcPr>
            <w:tcW w:w="4680" w:type="dxa"/>
            <w:tcMar>
              <w:top w:w="100" w:type="dxa"/>
              <w:left w:w="100" w:type="dxa"/>
              <w:bottom w:w="100" w:type="dxa"/>
              <w:right w:w="100" w:type="dxa"/>
            </w:tcMar>
          </w:tcPr>
          <w:p w14:paraId="48175F6D" w14:textId="77777777" w:rsidR="00935112" w:rsidRDefault="00007B56">
            <w:pPr>
              <w:spacing w:line="240" w:lineRule="auto"/>
            </w:pPr>
            <w:r>
              <w:rPr>
                <w:rFonts w:ascii="Times New Roman" w:eastAsia="Times New Roman" w:hAnsi="Times New Roman" w:cs="Times New Roman"/>
                <w:sz w:val="18"/>
              </w:rPr>
              <w:t>Relevance</w:t>
            </w:r>
          </w:p>
        </w:tc>
        <w:tc>
          <w:tcPr>
            <w:tcW w:w="4680" w:type="dxa"/>
            <w:tcMar>
              <w:top w:w="100" w:type="dxa"/>
              <w:left w:w="100" w:type="dxa"/>
              <w:bottom w:w="100" w:type="dxa"/>
              <w:right w:w="100" w:type="dxa"/>
            </w:tcMar>
          </w:tcPr>
          <w:p w14:paraId="43B4B476" w14:textId="77777777" w:rsidR="00935112" w:rsidRDefault="00007B56">
            <w:pPr>
              <w:spacing w:line="240" w:lineRule="auto"/>
            </w:pPr>
            <w:r>
              <w:rPr>
                <w:rFonts w:ascii="Times New Roman" w:eastAsia="Times New Roman" w:hAnsi="Times New Roman" w:cs="Times New Roman"/>
                <w:sz w:val="18"/>
              </w:rPr>
              <w:t>2.17</w:t>
            </w:r>
          </w:p>
        </w:tc>
      </w:tr>
      <w:tr w:rsidR="00935112" w14:paraId="539BC319" w14:textId="77777777">
        <w:tc>
          <w:tcPr>
            <w:tcW w:w="4680" w:type="dxa"/>
            <w:tcMar>
              <w:top w:w="100" w:type="dxa"/>
              <w:left w:w="100" w:type="dxa"/>
              <w:bottom w:w="100" w:type="dxa"/>
              <w:right w:w="100" w:type="dxa"/>
            </w:tcMar>
          </w:tcPr>
          <w:p w14:paraId="596E81DC" w14:textId="77777777" w:rsidR="00935112" w:rsidRDefault="00007B56">
            <w:pPr>
              <w:spacing w:line="240" w:lineRule="auto"/>
            </w:pPr>
            <w:r>
              <w:rPr>
                <w:rFonts w:ascii="Times New Roman" w:eastAsia="Times New Roman" w:hAnsi="Times New Roman" w:cs="Times New Roman"/>
                <w:sz w:val="18"/>
              </w:rPr>
              <w:t>Analysis</w:t>
            </w:r>
          </w:p>
        </w:tc>
        <w:tc>
          <w:tcPr>
            <w:tcW w:w="4680" w:type="dxa"/>
            <w:tcMar>
              <w:top w:w="100" w:type="dxa"/>
              <w:left w:w="100" w:type="dxa"/>
              <w:bottom w:w="100" w:type="dxa"/>
              <w:right w:w="100" w:type="dxa"/>
            </w:tcMar>
          </w:tcPr>
          <w:p w14:paraId="7F78AD42" w14:textId="77777777" w:rsidR="00935112" w:rsidRDefault="00007B56">
            <w:pPr>
              <w:spacing w:line="240" w:lineRule="auto"/>
            </w:pPr>
            <w:r>
              <w:rPr>
                <w:rFonts w:ascii="Times New Roman" w:eastAsia="Times New Roman" w:hAnsi="Times New Roman" w:cs="Times New Roman"/>
                <w:sz w:val="18"/>
              </w:rPr>
              <w:t>2.15</w:t>
            </w:r>
          </w:p>
        </w:tc>
      </w:tr>
      <w:tr w:rsidR="00935112" w14:paraId="1A07714D" w14:textId="77777777">
        <w:tc>
          <w:tcPr>
            <w:tcW w:w="4680" w:type="dxa"/>
            <w:tcMar>
              <w:top w:w="100" w:type="dxa"/>
              <w:left w:w="100" w:type="dxa"/>
              <w:bottom w:w="100" w:type="dxa"/>
              <w:right w:w="100" w:type="dxa"/>
            </w:tcMar>
          </w:tcPr>
          <w:p w14:paraId="19987552" w14:textId="77777777" w:rsidR="00935112" w:rsidRDefault="00007B56">
            <w:pPr>
              <w:spacing w:line="240" w:lineRule="auto"/>
            </w:pPr>
            <w:r>
              <w:rPr>
                <w:rFonts w:ascii="Times New Roman" w:eastAsia="Times New Roman" w:hAnsi="Times New Roman" w:cs="Times New Roman"/>
                <w:sz w:val="18"/>
              </w:rPr>
              <w:t>Interconnections</w:t>
            </w:r>
          </w:p>
        </w:tc>
        <w:tc>
          <w:tcPr>
            <w:tcW w:w="4680" w:type="dxa"/>
            <w:tcMar>
              <w:top w:w="100" w:type="dxa"/>
              <w:left w:w="100" w:type="dxa"/>
              <w:bottom w:w="100" w:type="dxa"/>
              <w:right w:w="100" w:type="dxa"/>
            </w:tcMar>
          </w:tcPr>
          <w:p w14:paraId="08D97919" w14:textId="77777777" w:rsidR="00935112" w:rsidRDefault="00007B56">
            <w:pPr>
              <w:spacing w:line="240" w:lineRule="auto"/>
            </w:pPr>
            <w:r>
              <w:rPr>
                <w:rFonts w:ascii="Times New Roman" w:eastAsia="Times New Roman" w:hAnsi="Times New Roman" w:cs="Times New Roman"/>
                <w:sz w:val="18"/>
              </w:rPr>
              <w:t>2.25</w:t>
            </w:r>
          </w:p>
        </w:tc>
      </w:tr>
      <w:tr w:rsidR="00935112" w14:paraId="5CD7B3C0" w14:textId="77777777">
        <w:tc>
          <w:tcPr>
            <w:tcW w:w="4680" w:type="dxa"/>
            <w:tcMar>
              <w:top w:w="100" w:type="dxa"/>
              <w:left w:w="100" w:type="dxa"/>
              <w:bottom w:w="100" w:type="dxa"/>
              <w:right w:w="100" w:type="dxa"/>
            </w:tcMar>
          </w:tcPr>
          <w:p w14:paraId="2A9259CF" w14:textId="77777777" w:rsidR="00935112" w:rsidRDefault="00007B56">
            <w:pPr>
              <w:spacing w:line="240" w:lineRule="auto"/>
            </w:pPr>
            <w:r>
              <w:rPr>
                <w:rFonts w:ascii="Times New Roman" w:eastAsia="Times New Roman" w:hAnsi="Times New Roman" w:cs="Times New Roman"/>
                <w:sz w:val="18"/>
              </w:rPr>
              <w:t>Self-Criticism</w:t>
            </w:r>
          </w:p>
        </w:tc>
        <w:tc>
          <w:tcPr>
            <w:tcW w:w="4680" w:type="dxa"/>
            <w:tcMar>
              <w:top w:w="100" w:type="dxa"/>
              <w:left w:w="100" w:type="dxa"/>
              <w:bottom w:w="100" w:type="dxa"/>
              <w:right w:w="100" w:type="dxa"/>
            </w:tcMar>
          </w:tcPr>
          <w:p w14:paraId="4B8C34F0" w14:textId="77777777" w:rsidR="00935112" w:rsidRDefault="00007B56">
            <w:pPr>
              <w:spacing w:line="240" w:lineRule="auto"/>
            </w:pPr>
            <w:r>
              <w:rPr>
                <w:rFonts w:ascii="Times New Roman" w:eastAsia="Times New Roman" w:hAnsi="Times New Roman" w:cs="Times New Roman"/>
                <w:sz w:val="18"/>
              </w:rPr>
              <w:t>2.17</w:t>
            </w:r>
          </w:p>
        </w:tc>
      </w:tr>
    </w:tbl>
    <w:p w14:paraId="5A17C169" w14:textId="77777777" w:rsidR="00935112" w:rsidRDefault="00935112">
      <w:pPr>
        <w:spacing w:after="200" w:line="240" w:lineRule="auto"/>
      </w:pPr>
    </w:p>
    <w:p w14:paraId="5C63D23A" w14:textId="77777777" w:rsidR="00935112" w:rsidRDefault="00007B56" w:rsidP="008B5E44">
      <w:pPr>
        <w:spacing w:line="240" w:lineRule="auto"/>
      </w:pPr>
      <w:r>
        <w:rPr>
          <w:rFonts w:ascii="Calibri" w:eastAsia="Calibri" w:hAnsi="Calibri" w:cs="Calibri"/>
          <w:b/>
        </w:rPr>
        <w:tab/>
      </w:r>
      <w:r>
        <w:rPr>
          <w:rFonts w:ascii="Times New Roman" w:eastAsia="Times New Roman" w:hAnsi="Times New Roman" w:cs="Times New Roman"/>
        </w:rPr>
        <w:t>In addition to providing baseline data for future program assessment, these results indicate written communication performance at or approaching program goals. However, the performance on information literacy suggests significant attention should be paid to accessing and evaluating information. Similarly, helping students</w:t>
      </w:r>
      <w:r w:rsidR="00F17638">
        <w:rPr>
          <w:rFonts w:ascii="Times New Roman" w:eastAsia="Times New Roman" w:hAnsi="Times New Roman" w:cs="Times New Roman"/>
        </w:rPr>
        <w:t xml:space="preserve"> to</w:t>
      </w:r>
      <w:r>
        <w:rPr>
          <w:rFonts w:ascii="Times New Roman" w:eastAsia="Times New Roman" w:hAnsi="Times New Roman" w:cs="Times New Roman"/>
        </w:rPr>
        <w:t xml:space="preserve"> deepen their reflections, particularly with regard to analysis and self-criticism should be an area of emphasis. These results are shared with communities of practice</w:t>
      </w:r>
      <w:r w:rsidR="000D45A7">
        <w:rPr>
          <w:rFonts w:ascii="Times New Roman" w:eastAsia="Times New Roman" w:hAnsi="Times New Roman" w:cs="Times New Roman"/>
        </w:rPr>
        <w:t>,</w:t>
      </w:r>
      <w:r>
        <w:rPr>
          <w:rFonts w:ascii="Times New Roman" w:eastAsia="Times New Roman" w:hAnsi="Times New Roman" w:cs="Times New Roman"/>
        </w:rPr>
        <w:t xml:space="preserve"> and faculty are encouraged to share assignments and assessments aimed at improving student performance on such indicators.</w:t>
      </w:r>
    </w:p>
    <w:p w14:paraId="7C84E949" w14:textId="77777777" w:rsidR="00935112" w:rsidRDefault="00935112"/>
    <w:p w14:paraId="11F69D25" w14:textId="77777777" w:rsidR="00935112" w:rsidRDefault="00007B56">
      <w:pPr>
        <w:spacing w:line="240" w:lineRule="auto"/>
      </w:pPr>
      <w:r>
        <w:rPr>
          <w:rFonts w:ascii="Times New Roman" w:eastAsia="Times New Roman" w:hAnsi="Times New Roman" w:cs="Times New Roman"/>
          <w:b/>
        </w:rPr>
        <w:t>Student Success Outcomes Assessment</w:t>
      </w:r>
    </w:p>
    <w:p w14:paraId="3CF73F3A" w14:textId="77777777" w:rsidR="00935112" w:rsidRDefault="00007B56">
      <w:pPr>
        <w:spacing w:line="240" w:lineRule="auto"/>
        <w:ind w:firstLine="720"/>
      </w:pPr>
      <w:r>
        <w:rPr>
          <w:rFonts w:ascii="Times New Roman" w:eastAsia="Times New Roman" w:hAnsi="Times New Roman" w:cs="Times New Roman"/>
        </w:rPr>
        <w:t xml:space="preserve">While the approach to integrate student success components across the curriculum is, indeed, innovative, there were concerns that the shift from the former model to the Gateway would create </w:t>
      </w:r>
      <w:r>
        <w:rPr>
          <w:rFonts w:ascii="Times New Roman" w:eastAsia="Times New Roman" w:hAnsi="Times New Roman" w:cs="Times New Roman"/>
        </w:rPr>
        <w:lastRenderedPageBreak/>
        <w:t>challenges, not only for the first-years and their transition, but also for the academic support units</w:t>
      </w:r>
      <w:r w:rsidR="008B5E44">
        <w:rPr>
          <w:rFonts w:ascii="Times New Roman" w:eastAsia="Times New Roman" w:hAnsi="Times New Roman" w:cs="Times New Roman"/>
        </w:rPr>
        <w:t xml:space="preserve"> and the faculty</w:t>
      </w:r>
      <w:r>
        <w:rPr>
          <w:rFonts w:ascii="Times New Roman" w:eastAsia="Times New Roman" w:hAnsi="Times New Roman" w:cs="Times New Roman"/>
        </w:rPr>
        <w:t>.</w:t>
      </w:r>
      <w:r>
        <w:rPr>
          <w:rFonts w:ascii="Times New Roman" w:eastAsia="Times New Roman" w:hAnsi="Times New Roman" w:cs="Times New Roman"/>
        </w:rPr>
        <w:tab/>
      </w:r>
    </w:p>
    <w:p w14:paraId="7441630B" w14:textId="77777777" w:rsidR="00935112" w:rsidRDefault="00007B56">
      <w:pPr>
        <w:spacing w:line="240" w:lineRule="auto"/>
        <w:ind w:firstLine="720"/>
      </w:pPr>
      <w:r>
        <w:rPr>
          <w:rFonts w:ascii="Times New Roman" w:eastAsia="Times New Roman" w:hAnsi="Times New Roman" w:cs="Times New Roman"/>
        </w:rPr>
        <w:t xml:space="preserve">Since the fall of 2004, Bryant has participated in Educational </w:t>
      </w:r>
      <w:proofErr w:type="spellStart"/>
      <w:r>
        <w:rPr>
          <w:rFonts w:ascii="Times New Roman" w:eastAsia="Times New Roman" w:hAnsi="Times New Roman" w:cs="Times New Roman"/>
        </w:rPr>
        <w:t>Benchmarking’s</w:t>
      </w:r>
      <w:proofErr w:type="spellEnd"/>
      <w:r>
        <w:rPr>
          <w:rFonts w:ascii="Times New Roman" w:eastAsia="Times New Roman" w:hAnsi="Times New Roman" w:cs="Times New Roman"/>
        </w:rPr>
        <w:t xml:space="preserve"> First-Year Initiative Assessment (FYI).  The FYI is a self-report, diagnostic tool designed to understand student perceptions of their first-year experience. The instrument analyzes 15 factors (categorized by predictor status and factor performance). Scores are based on a seven-point Likert scale. </w:t>
      </w:r>
    </w:p>
    <w:p w14:paraId="0B818812" w14:textId="77777777" w:rsidR="00935112" w:rsidRDefault="00007B56">
      <w:pPr>
        <w:spacing w:line="240" w:lineRule="auto"/>
        <w:ind w:firstLine="720"/>
      </w:pPr>
      <w:r>
        <w:rPr>
          <w:rFonts w:ascii="Times New Roman" w:eastAsia="Times New Roman" w:hAnsi="Times New Roman" w:cs="Times New Roman"/>
        </w:rPr>
        <w:t>Over the years, longitudinal data from the FYI has been utilized to support continuous improvement efforts; thus</w:t>
      </w:r>
      <w:r w:rsidR="000D45A7">
        <w:rPr>
          <w:rFonts w:ascii="Times New Roman" w:eastAsia="Times New Roman" w:hAnsi="Times New Roman" w:cs="Times New Roman"/>
        </w:rPr>
        <w:t>,</w:t>
      </w:r>
      <w:r>
        <w:rPr>
          <w:rFonts w:ascii="Times New Roman" w:eastAsia="Times New Roman" w:hAnsi="Times New Roman" w:cs="Times New Roman"/>
        </w:rPr>
        <w:t xml:space="preserve"> data gathered from the FYI in the fall of 2012 and 2013 allowed for some initial assessment related to the effects of the Gateway implementation on student success outcomes. Results indicated some gains in student success variables and some areas of concern compared to t</w:t>
      </w:r>
      <w:r w:rsidR="000D45A7">
        <w:rPr>
          <w:rFonts w:ascii="Times New Roman" w:eastAsia="Times New Roman" w:hAnsi="Times New Roman" w:cs="Times New Roman"/>
        </w:rPr>
        <w:t xml:space="preserve">he results from the fall of 2011, </w:t>
      </w:r>
      <w:r>
        <w:rPr>
          <w:rFonts w:ascii="Times New Roman" w:eastAsia="Times New Roman" w:hAnsi="Times New Roman" w:cs="Times New Roman"/>
        </w:rPr>
        <w:t>prior to the Gateway implementation. For example, one area of concern was</w:t>
      </w:r>
      <w:r>
        <w:rPr>
          <w:rFonts w:ascii="Times New Roman" w:eastAsia="Times New Roman" w:hAnsi="Times New Roman" w:cs="Times New Roman"/>
          <w:i/>
        </w:rPr>
        <w:t xml:space="preserve"> Knowledge of Academic Services.</w:t>
      </w:r>
      <w:r>
        <w:rPr>
          <w:rFonts w:ascii="Times New Roman" w:eastAsia="Times New Roman" w:hAnsi="Times New Roman" w:cs="Times New Roman"/>
        </w:rPr>
        <w:t xml:space="preserve"> Students were asked to what extent did the course improve their knowledge of the role of the academic advisor, how to obtain a tutor, how to obtain academic assistance, and avail themselves of library resources. Compared to 2011, scores on this factor</w:t>
      </w:r>
      <w:r w:rsidR="003270FE">
        <w:rPr>
          <w:rFonts w:ascii="Times New Roman" w:eastAsia="Times New Roman" w:hAnsi="Times New Roman" w:cs="Times New Roman"/>
        </w:rPr>
        <w:t xml:space="preserve"> of 5.56</w:t>
      </w:r>
      <w:r>
        <w:rPr>
          <w:rFonts w:ascii="Times New Roman" w:eastAsia="Times New Roman" w:hAnsi="Times New Roman" w:cs="Times New Roman"/>
        </w:rPr>
        <w:t xml:space="preserve"> decreased by -.32 in 2012, and then decreased again by -.10 in 2013. The difference in the score between the </w:t>
      </w:r>
      <w:r w:rsidR="003270FE">
        <w:rPr>
          <w:rFonts w:ascii="Times New Roman" w:eastAsia="Times New Roman" w:hAnsi="Times New Roman" w:cs="Times New Roman"/>
        </w:rPr>
        <w:t>fall of 2011 and 2013 may be connected</w:t>
      </w:r>
      <w:r w:rsidR="00010D12">
        <w:rPr>
          <w:rFonts w:ascii="Times New Roman" w:eastAsia="Times New Roman" w:hAnsi="Times New Roman" w:cs="Times New Roman"/>
        </w:rPr>
        <w:t xml:space="preserve"> to th</w:t>
      </w:r>
      <w:r w:rsidR="003270FE">
        <w:rPr>
          <w:rFonts w:ascii="Times New Roman" w:eastAsia="Times New Roman" w:hAnsi="Times New Roman" w:cs="Times New Roman"/>
        </w:rPr>
        <w:t>e</w:t>
      </w:r>
      <w:r w:rsidR="000C204E">
        <w:rPr>
          <w:rFonts w:ascii="Times New Roman" w:eastAsia="Times New Roman" w:hAnsi="Times New Roman" w:cs="Times New Roman"/>
        </w:rPr>
        <w:t xml:space="preserve"> </w:t>
      </w:r>
      <w:r w:rsidR="003A0BFD">
        <w:rPr>
          <w:rFonts w:ascii="Times New Roman" w:eastAsia="Times New Roman" w:hAnsi="Times New Roman" w:cs="Times New Roman"/>
        </w:rPr>
        <w:t>va</w:t>
      </w:r>
      <w:r w:rsidR="005E304B">
        <w:rPr>
          <w:rFonts w:ascii="Times New Roman" w:eastAsia="Times New Roman" w:hAnsi="Times New Roman" w:cs="Times New Roman"/>
        </w:rPr>
        <w:t xml:space="preserve">rying </w:t>
      </w:r>
      <w:r w:rsidR="00010D12">
        <w:rPr>
          <w:rFonts w:ascii="Times New Roman" w:eastAsia="Times New Roman" w:hAnsi="Times New Roman" w:cs="Times New Roman"/>
        </w:rPr>
        <w:t xml:space="preserve">patterns of </w:t>
      </w:r>
      <w:r w:rsidR="005E304B">
        <w:rPr>
          <w:rFonts w:ascii="Times New Roman" w:eastAsia="Times New Roman" w:hAnsi="Times New Roman" w:cs="Times New Roman"/>
        </w:rPr>
        <w:t xml:space="preserve">student participation in the available </w:t>
      </w:r>
      <w:r>
        <w:rPr>
          <w:rFonts w:ascii="Times New Roman" w:eastAsia="Times New Roman" w:hAnsi="Times New Roman" w:cs="Times New Roman"/>
        </w:rPr>
        <w:t>Academic Center for Excellence and Writing Center Workshops. In the former model, there was a more uniform integration of the workshops into the curriculum. With the Gateway initiative, there are sti</w:t>
      </w:r>
      <w:r w:rsidR="000D45A7">
        <w:rPr>
          <w:rFonts w:ascii="Times New Roman" w:eastAsia="Times New Roman" w:hAnsi="Times New Roman" w:cs="Times New Roman"/>
        </w:rPr>
        <w:t>ll pockets of faculty resistance</w:t>
      </w:r>
      <w:r>
        <w:rPr>
          <w:rFonts w:ascii="Times New Roman" w:eastAsia="Times New Roman" w:hAnsi="Times New Roman" w:cs="Times New Roman"/>
        </w:rPr>
        <w:t xml:space="preserve"> to </w:t>
      </w:r>
      <w:r w:rsidR="003270FE">
        <w:rPr>
          <w:rFonts w:ascii="Times New Roman" w:eastAsia="Times New Roman" w:hAnsi="Times New Roman" w:cs="Times New Roman"/>
        </w:rPr>
        <w:t xml:space="preserve">requiring and/or delivering </w:t>
      </w:r>
      <w:r>
        <w:rPr>
          <w:rFonts w:ascii="Times New Roman" w:eastAsia="Times New Roman" w:hAnsi="Times New Roman" w:cs="Times New Roman"/>
        </w:rPr>
        <w:t>some of the student success offerings.</w:t>
      </w:r>
    </w:p>
    <w:p w14:paraId="034DE3BF" w14:textId="77777777" w:rsidR="00935112" w:rsidRDefault="00007B56">
      <w:pPr>
        <w:spacing w:line="240" w:lineRule="auto"/>
        <w:ind w:firstLine="720"/>
      </w:pPr>
      <w:r>
        <w:rPr>
          <w:rFonts w:ascii="Times New Roman" w:eastAsia="Times New Roman" w:hAnsi="Times New Roman" w:cs="Times New Roman"/>
        </w:rPr>
        <w:t>Another area of concern was the decrease in</w:t>
      </w:r>
      <w:r>
        <w:rPr>
          <w:rFonts w:ascii="Times New Roman" w:eastAsia="Times New Roman" w:hAnsi="Times New Roman" w:cs="Times New Roman"/>
          <w:i/>
        </w:rPr>
        <w:t xml:space="preserve"> Knowledge of Campus Policies</w:t>
      </w:r>
      <w:r w:rsidR="000C204E">
        <w:rPr>
          <w:rFonts w:ascii="Times New Roman" w:eastAsia="Times New Roman" w:hAnsi="Times New Roman" w:cs="Times New Roman"/>
          <w:i/>
        </w:rPr>
        <w:t xml:space="preserve"> </w:t>
      </w:r>
      <w:r w:rsidR="003270FE">
        <w:rPr>
          <w:rFonts w:ascii="Times New Roman" w:eastAsia="Times New Roman" w:hAnsi="Times New Roman" w:cs="Times New Roman"/>
        </w:rPr>
        <w:t>from 4.87 to 4.14 between 2011 and 2013 (-.73</w:t>
      </w:r>
      <w:r>
        <w:rPr>
          <w:rFonts w:ascii="Times New Roman" w:eastAsia="Times New Roman" w:hAnsi="Times New Roman" w:cs="Times New Roman"/>
        </w:rPr>
        <w:t xml:space="preserve">).  This factor ascertains information about students’ knowledge of academic honesty rules, the grading system, academic probation policies, and registration procedures. Most of </w:t>
      </w:r>
      <w:r w:rsidR="003270FE">
        <w:rPr>
          <w:rFonts w:ascii="Times New Roman" w:eastAsia="Times New Roman" w:hAnsi="Times New Roman" w:cs="Times New Roman"/>
        </w:rPr>
        <w:t>this information was previous</w:t>
      </w:r>
      <w:r>
        <w:rPr>
          <w:rFonts w:ascii="Times New Roman" w:eastAsia="Times New Roman" w:hAnsi="Times New Roman" w:cs="Times New Roman"/>
        </w:rPr>
        <w:t>ly addressed in advising cl</w:t>
      </w:r>
      <w:r w:rsidR="003270FE">
        <w:rPr>
          <w:rFonts w:ascii="Times New Roman" w:eastAsia="Times New Roman" w:hAnsi="Times New Roman" w:cs="Times New Roman"/>
        </w:rPr>
        <w:t>ass visits and during required Registration W</w:t>
      </w:r>
      <w:r>
        <w:rPr>
          <w:rFonts w:ascii="Times New Roman" w:eastAsia="Times New Roman" w:hAnsi="Times New Roman" w:cs="Times New Roman"/>
        </w:rPr>
        <w:t>orkshops. Again, the decrease in this category may be attributed to faculty resistance to these types of class visits and not uniformly requiring the Advising Registration Workshops.</w:t>
      </w:r>
    </w:p>
    <w:p w14:paraId="5E26DB9E" w14:textId="77777777" w:rsidR="00935112" w:rsidRDefault="00007B56">
      <w:pPr>
        <w:spacing w:line="240" w:lineRule="auto"/>
        <w:ind w:firstLine="720"/>
      </w:pPr>
      <w:r>
        <w:rPr>
          <w:rFonts w:ascii="Times New Roman" w:eastAsia="Times New Roman" w:hAnsi="Times New Roman" w:cs="Times New Roman"/>
        </w:rPr>
        <w:t>The largest decrease between 2011 and 2012 was in</w:t>
      </w:r>
      <w:r>
        <w:rPr>
          <w:rFonts w:ascii="Times New Roman" w:eastAsia="Times New Roman" w:hAnsi="Times New Roman" w:cs="Times New Roman"/>
          <w:i/>
        </w:rPr>
        <w:t xml:space="preserve"> Knowledge of Wellness</w:t>
      </w:r>
      <w:r w:rsidR="000C204E">
        <w:rPr>
          <w:rFonts w:ascii="Times New Roman" w:eastAsia="Times New Roman" w:hAnsi="Times New Roman" w:cs="Times New Roman"/>
          <w:i/>
        </w:rPr>
        <w:t xml:space="preserve"> </w:t>
      </w:r>
      <w:r w:rsidR="007D64CC">
        <w:rPr>
          <w:rFonts w:ascii="Times New Roman" w:eastAsia="Times New Roman" w:hAnsi="Times New Roman" w:cs="Times New Roman"/>
        </w:rPr>
        <w:t>from 4.26 to 3.71, a decrease of-.55</w:t>
      </w:r>
      <w:r>
        <w:rPr>
          <w:rFonts w:ascii="Times New Roman" w:eastAsia="Times New Roman" w:hAnsi="Times New Roman" w:cs="Times New Roman"/>
        </w:rPr>
        <w:t>. This factor asks students questions about dealing with stress and sexual issues, exercising regularly, and the impact of drug and alcohol consumption.  While there were efforts to include class visits from Student Affairs personnel to address a variety of social adjustment issues, during the Gateway implementation year, these class visits were also met with some faculty resistance. On the other hand, during the second year of the Gateway initiative, faculty became more keenly aware of the importance of the social transition to college.  Partnerships between faculty and Student Affairs personnel were strengthened in the second year.  As a result</w:t>
      </w:r>
      <w:r w:rsidR="007D64CC">
        <w:rPr>
          <w:rFonts w:ascii="Times New Roman" w:eastAsia="Times New Roman" w:hAnsi="Times New Roman" w:cs="Times New Roman"/>
        </w:rPr>
        <w:t>,</w:t>
      </w:r>
      <w:r>
        <w:rPr>
          <w:rFonts w:ascii="Times New Roman" w:eastAsia="Times New Roman" w:hAnsi="Times New Roman" w:cs="Times New Roman"/>
        </w:rPr>
        <w:t xml:space="preserve"> in the fall of 2013, this factor increased by +.31.</w:t>
      </w:r>
    </w:p>
    <w:p w14:paraId="13C43650" w14:textId="77777777" w:rsidR="00935112" w:rsidRDefault="00007B56">
      <w:pPr>
        <w:spacing w:line="240" w:lineRule="auto"/>
      </w:pPr>
      <w:r>
        <w:rPr>
          <w:rFonts w:ascii="Times New Roman" w:eastAsia="Times New Roman" w:hAnsi="Times New Roman" w:cs="Times New Roman"/>
        </w:rPr>
        <w:tab/>
        <w:t>Finally, one area of on-going concern in both the former student success model and the Gateway are the scores related to establishing effective self-regulatory behaviors</w:t>
      </w:r>
      <w:r w:rsidR="00A918C5">
        <w:rPr>
          <w:rFonts w:ascii="Times New Roman" w:eastAsia="Times New Roman" w:hAnsi="Times New Roman" w:cs="Times New Roman"/>
        </w:rPr>
        <w:t xml:space="preserve"> </w:t>
      </w:r>
      <w:r w:rsidR="008E5C60" w:rsidRPr="008E5C60">
        <w:rPr>
          <w:rFonts w:ascii="Times New Roman" w:eastAsia="Times New Roman" w:hAnsi="Times New Roman" w:cs="Times New Roman"/>
        </w:rPr>
        <w:t>(White &amp;</w:t>
      </w:r>
      <w:r w:rsidR="008E5C60">
        <w:rPr>
          <w:rFonts w:ascii="Times New Roman" w:eastAsia="Times New Roman" w:hAnsi="Times New Roman" w:cs="Times New Roman"/>
        </w:rPr>
        <w:t xml:space="preserve">Kitchen, </w:t>
      </w:r>
      <w:proofErr w:type="gramStart"/>
      <w:r w:rsidR="008E5C60">
        <w:rPr>
          <w:rFonts w:ascii="Times New Roman" w:eastAsia="Times New Roman" w:hAnsi="Times New Roman" w:cs="Times New Roman"/>
        </w:rPr>
        <w:t>199</w:t>
      </w:r>
      <w:r w:rsidR="008A1C32">
        <w:rPr>
          <w:rFonts w:ascii="Times New Roman" w:eastAsia="Times New Roman" w:hAnsi="Times New Roman" w:cs="Times New Roman"/>
        </w:rPr>
        <w:t>1</w:t>
      </w:r>
      <w:r w:rsidR="008E5C60">
        <w:rPr>
          <w:rFonts w:ascii="Times New Roman" w:eastAsia="Times New Roman" w:hAnsi="Times New Roman" w:cs="Times New Roman"/>
        </w:rPr>
        <w:t>;Hazard</w:t>
      </w:r>
      <w:proofErr w:type="gramEnd"/>
      <w:r w:rsidR="008E5C60">
        <w:rPr>
          <w:rFonts w:ascii="Times New Roman" w:eastAsia="Times New Roman" w:hAnsi="Times New Roman" w:cs="Times New Roman"/>
        </w:rPr>
        <w:t>, 1997;</w:t>
      </w:r>
      <w:r w:rsidR="008E5C60" w:rsidRPr="008E5C60">
        <w:rPr>
          <w:rFonts w:ascii="Times New Roman" w:eastAsia="Times New Roman" w:hAnsi="Times New Roman" w:cs="Times New Roman"/>
        </w:rPr>
        <w:t>Steel, 2007</w:t>
      </w:r>
      <w:r w:rsidR="000D45A7">
        <w:rPr>
          <w:rFonts w:ascii="Times New Roman" w:eastAsia="Times New Roman" w:hAnsi="Times New Roman" w:cs="Times New Roman"/>
        </w:rPr>
        <w:t xml:space="preserve">, </w:t>
      </w:r>
      <w:proofErr w:type="spellStart"/>
      <w:r w:rsidR="000D45A7">
        <w:rPr>
          <w:rFonts w:ascii="Times New Roman" w:eastAsia="Times New Roman" w:hAnsi="Times New Roman" w:cs="Times New Roman"/>
        </w:rPr>
        <w:t>Huie</w:t>
      </w:r>
      <w:proofErr w:type="spellEnd"/>
      <w:r w:rsidR="000D45A7">
        <w:rPr>
          <w:rFonts w:ascii="Times New Roman" w:eastAsia="Times New Roman" w:hAnsi="Times New Roman" w:cs="Times New Roman"/>
        </w:rPr>
        <w:t>, et al., 2008</w:t>
      </w:r>
      <w:r w:rsidR="008E5C60" w:rsidRPr="008E5C60">
        <w:rPr>
          <w:rFonts w:ascii="Times New Roman" w:eastAsia="Times New Roman" w:hAnsi="Times New Roman" w:cs="Times New Roman"/>
        </w:rPr>
        <w:t>).</w:t>
      </w:r>
      <w:r>
        <w:rPr>
          <w:rFonts w:ascii="Times New Roman" w:eastAsia="Times New Roman" w:hAnsi="Times New Roman" w:cs="Times New Roman"/>
        </w:rPr>
        <w:t xml:space="preserve">  The research in this domain is clear: self-regulatory behaviors are at the heart of college success.   These behaviors are measured in</w:t>
      </w:r>
      <w:r>
        <w:rPr>
          <w:rFonts w:ascii="Times New Roman" w:eastAsia="Times New Roman" w:hAnsi="Times New Roman" w:cs="Times New Roman"/>
          <w:i/>
        </w:rPr>
        <w:t xml:space="preserve"> Managing Time and Priorities</w:t>
      </w:r>
      <w:r>
        <w:rPr>
          <w:rFonts w:ascii="Times New Roman" w:eastAsia="Times New Roman" w:hAnsi="Times New Roman" w:cs="Times New Roman"/>
        </w:rPr>
        <w:t>. In this factor, students were asked to report on their habits related to establishing personal goals, organizing time to meet responsibilities, setting priorities to accomplish what is most important, establishing an effective study schedule and preparing for tests well in advance. While this is one of the most challenging spheres for creating cognitive and behavioral</w:t>
      </w:r>
      <w:r w:rsidR="00237BEF">
        <w:rPr>
          <w:rFonts w:ascii="Times New Roman" w:eastAsia="Times New Roman" w:hAnsi="Times New Roman" w:cs="Times New Roman"/>
        </w:rPr>
        <w:t xml:space="preserve"> change, and scores are moving i</w:t>
      </w:r>
      <w:r>
        <w:rPr>
          <w:rFonts w:ascii="Times New Roman" w:eastAsia="Times New Roman" w:hAnsi="Times New Roman" w:cs="Times New Roman"/>
        </w:rPr>
        <w:t>n the positive direction, work still needs to be done in this area.  Minor gains were made on this factor: +.16 in 2</w:t>
      </w:r>
      <w:r w:rsidR="000D45A7">
        <w:rPr>
          <w:rFonts w:ascii="Times New Roman" w:eastAsia="Times New Roman" w:hAnsi="Times New Roman" w:cs="Times New Roman"/>
        </w:rPr>
        <w:t xml:space="preserve">012 and then again in 2013: +.31, </w:t>
      </w:r>
      <w:r w:rsidR="007D64CC">
        <w:rPr>
          <w:rFonts w:ascii="Times New Roman" w:eastAsia="Times New Roman" w:hAnsi="Times New Roman" w:cs="Times New Roman"/>
        </w:rPr>
        <w:t>representing an increase from 4.83 to 5.30</w:t>
      </w:r>
      <w:r>
        <w:rPr>
          <w:rFonts w:ascii="Times New Roman" w:eastAsia="Times New Roman" w:hAnsi="Times New Roman" w:cs="Times New Roman"/>
        </w:rPr>
        <w:t>. Improvements in this factor may be attributed to faculty encouraging students to attend a Psychol</w:t>
      </w:r>
      <w:r w:rsidR="007D64CC">
        <w:rPr>
          <w:rFonts w:ascii="Times New Roman" w:eastAsia="Times New Roman" w:hAnsi="Times New Roman" w:cs="Times New Roman"/>
        </w:rPr>
        <w:t>ogy of Procrastination Gateway S</w:t>
      </w:r>
      <w:r>
        <w:rPr>
          <w:rFonts w:ascii="Times New Roman" w:eastAsia="Times New Roman" w:hAnsi="Times New Roman" w:cs="Times New Roman"/>
        </w:rPr>
        <w:t xml:space="preserve">ession, and time management and goal-setting workshops. </w:t>
      </w:r>
    </w:p>
    <w:p w14:paraId="6964537B" w14:textId="77777777" w:rsidR="00935112" w:rsidRDefault="00007B56">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In other student success domains, there were notable gains related to the Gateway implementation from the fall of 2011 to the fall of 2013. </w:t>
      </w:r>
    </w:p>
    <w:p w14:paraId="48E38D45" w14:textId="77777777" w:rsidR="00C07EA2" w:rsidRDefault="00C07EA2" w:rsidP="007D64CC">
      <w:pPr>
        <w:spacing w:line="240" w:lineRule="auto"/>
        <w:rPr>
          <w:rFonts w:ascii="Times New Roman" w:eastAsia="Times New Roman" w:hAnsi="Times New Roman" w:cs="Times New Roman"/>
          <w:sz w:val="18"/>
          <w:szCs w:val="18"/>
        </w:rPr>
      </w:pPr>
    </w:p>
    <w:p w14:paraId="5CAF6602" w14:textId="77777777" w:rsidR="009C2A58" w:rsidRDefault="009C2A58">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4FE941AD" w14:textId="77777777" w:rsidR="007D64CC" w:rsidRDefault="007D64CC" w:rsidP="007D64CC">
      <w:pPr>
        <w:spacing w:line="240" w:lineRule="auto"/>
        <w:rPr>
          <w:rFonts w:ascii="Times New Roman" w:eastAsia="Times New Roman" w:hAnsi="Times New Roman" w:cs="Times New Roman"/>
          <w:i/>
          <w:sz w:val="18"/>
          <w:szCs w:val="18"/>
        </w:rPr>
      </w:pPr>
      <w:r w:rsidRPr="007D64CC">
        <w:rPr>
          <w:rFonts w:ascii="Times New Roman" w:eastAsia="Times New Roman" w:hAnsi="Times New Roman" w:cs="Times New Roman"/>
          <w:sz w:val="18"/>
          <w:szCs w:val="18"/>
        </w:rPr>
        <w:lastRenderedPageBreak/>
        <w:t>Table</w:t>
      </w:r>
      <w:r>
        <w:rPr>
          <w:rFonts w:ascii="Times New Roman" w:eastAsia="Times New Roman" w:hAnsi="Times New Roman" w:cs="Times New Roman"/>
          <w:sz w:val="18"/>
          <w:szCs w:val="18"/>
        </w:rPr>
        <w:t xml:space="preserve"> 4: </w:t>
      </w:r>
      <w:r>
        <w:rPr>
          <w:rFonts w:ascii="Times New Roman" w:eastAsia="Times New Roman" w:hAnsi="Times New Roman" w:cs="Times New Roman"/>
          <w:i/>
          <w:sz w:val="18"/>
          <w:szCs w:val="18"/>
        </w:rPr>
        <w:t>Student Success Factor Gains</w:t>
      </w:r>
      <w:r w:rsidR="00EF1C96">
        <w:rPr>
          <w:rFonts w:ascii="Times New Roman" w:eastAsia="Times New Roman" w:hAnsi="Times New Roman" w:cs="Times New Roman"/>
          <w:i/>
          <w:sz w:val="18"/>
          <w:szCs w:val="18"/>
        </w:rPr>
        <w:t xml:space="preserve"> f</w:t>
      </w:r>
      <w:r>
        <w:rPr>
          <w:rFonts w:ascii="Times New Roman" w:eastAsia="Times New Roman" w:hAnsi="Times New Roman" w:cs="Times New Roman"/>
          <w:i/>
          <w:sz w:val="18"/>
          <w:szCs w:val="18"/>
        </w:rPr>
        <w:t>rom 2011 to 2013</w:t>
      </w:r>
    </w:p>
    <w:tbl>
      <w:tblPr>
        <w:tblStyle w:val="TableGrid"/>
        <w:tblW w:w="0" w:type="auto"/>
        <w:tblLook w:val="04A0" w:firstRow="1" w:lastRow="0" w:firstColumn="1" w:lastColumn="0" w:noHBand="0" w:noVBand="1"/>
      </w:tblPr>
      <w:tblGrid>
        <w:gridCol w:w="2577"/>
        <w:gridCol w:w="2106"/>
        <w:gridCol w:w="2332"/>
        <w:gridCol w:w="2335"/>
      </w:tblGrid>
      <w:tr w:rsidR="007D64CC" w14:paraId="2451D806" w14:textId="77777777" w:rsidTr="007D64CC">
        <w:tc>
          <w:tcPr>
            <w:tcW w:w="2628" w:type="dxa"/>
            <w:shd w:val="clear" w:color="auto" w:fill="D9D9D9" w:themeFill="background1" w:themeFillShade="D9"/>
          </w:tcPr>
          <w:p w14:paraId="428979B7" w14:textId="77777777" w:rsidR="007D64CC" w:rsidRPr="009C2A58" w:rsidRDefault="007D64CC" w:rsidP="00EF1C96">
            <w:pPr>
              <w:rPr>
                <w:rFonts w:ascii="Times New Roman" w:eastAsia="Times New Roman" w:hAnsi="Times New Roman" w:cs="Times New Roman"/>
                <w:b/>
                <w:sz w:val="18"/>
                <w:szCs w:val="18"/>
              </w:rPr>
            </w:pPr>
            <w:r w:rsidRPr="009C2A58">
              <w:rPr>
                <w:rFonts w:ascii="Times New Roman" w:eastAsia="Times New Roman" w:hAnsi="Times New Roman" w:cs="Times New Roman"/>
                <w:b/>
                <w:sz w:val="18"/>
                <w:szCs w:val="18"/>
              </w:rPr>
              <w:t>Factor</w:t>
            </w:r>
          </w:p>
        </w:tc>
        <w:tc>
          <w:tcPr>
            <w:tcW w:w="2160" w:type="dxa"/>
            <w:shd w:val="clear" w:color="auto" w:fill="D9D9D9" w:themeFill="background1" w:themeFillShade="D9"/>
          </w:tcPr>
          <w:p w14:paraId="2F0F4297" w14:textId="77777777" w:rsidR="007D64CC" w:rsidRPr="009C2A58" w:rsidRDefault="007D64CC" w:rsidP="00EF1C96">
            <w:pPr>
              <w:rPr>
                <w:rFonts w:ascii="Times New Roman" w:eastAsia="Times New Roman" w:hAnsi="Times New Roman" w:cs="Times New Roman"/>
                <w:b/>
                <w:sz w:val="18"/>
                <w:szCs w:val="18"/>
              </w:rPr>
            </w:pPr>
            <w:r w:rsidRPr="009C2A58">
              <w:rPr>
                <w:rFonts w:ascii="Times New Roman" w:eastAsia="Times New Roman" w:hAnsi="Times New Roman" w:cs="Times New Roman"/>
                <w:b/>
                <w:sz w:val="18"/>
                <w:szCs w:val="18"/>
              </w:rPr>
              <w:t>2011</w:t>
            </w:r>
          </w:p>
        </w:tc>
        <w:tc>
          <w:tcPr>
            <w:tcW w:w="2394" w:type="dxa"/>
            <w:shd w:val="clear" w:color="auto" w:fill="D9D9D9" w:themeFill="background1" w:themeFillShade="D9"/>
          </w:tcPr>
          <w:p w14:paraId="777A5DEA" w14:textId="77777777" w:rsidR="007D64CC" w:rsidRPr="009C2A58" w:rsidRDefault="007D64CC" w:rsidP="00EF1C96">
            <w:pPr>
              <w:rPr>
                <w:rFonts w:ascii="Times New Roman" w:eastAsia="Times New Roman" w:hAnsi="Times New Roman" w:cs="Times New Roman"/>
                <w:b/>
                <w:sz w:val="18"/>
                <w:szCs w:val="18"/>
              </w:rPr>
            </w:pPr>
            <w:r w:rsidRPr="009C2A58">
              <w:rPr>
                <w:rFonts w:ascii="Times New Roman" w:eastAsia="Times New Roman" w:hAnsi="Times New Roman" w:cs="Times New Roman"/>
                <w:b/>
                <w:sz w:val="18"/>
                <w:szCs w:val="18"/>
              </w:rPr>
              <w:t>2013</w:t>
            </w:r>
          </w:p>
        </w:tc>
        <w:tc>
          <w:tcPr>
            <w:tcW w:w="2394" w:type="dxa"/>
            <w:shd w:val="clear" w:color="auto" w:fill="D9D9D9" w:themeFill="background1" w:themeFillShade="D9"/>
          </w:tcPr>
          <w:p w14:paraId="2C71C9A7" w14:textId="77777777" w:rsidR="007D64CC" w:rsidRPr="009C2A58" w:rsidRDefault="007D64CC" w:rsidP="00EF1C96">
            <w:pPr>
              <w:rPr>
                <w:rFonts w:ascii="Times New Roman" w:eastAsia="Times New Roman" w:hAnsi="Times New Roman" w:cs="Times New Roman"/>
                <w:b/>
                <w:sz w:val="18"/>
                <w:szCs w:val="18"/>
              </w:rPr>
            </w:pPr>
            <w:r w:rsidRPr="009C2A58">
              <w:rPr>
                <w:rFonts w:ascii="Times New Roman" w:eastAsia="Times New Roman" w:hAnsi="Times New Roman" w:cs="Times New Roman"/>
                <w:b/>
                <w:sz w:val="18"/>
                <w:szCs w:val="18"/>
              </w:rPr>
              <w:t>Gains</w:t>
            </w:r>
          </w:p>
        </w:tc>
      </w:tr>
      <w:tr w:rsidR="007D64CC" w:rsidRPr="007D64CC" w14:paraId="0F8B4658" w14:textId="77777777" w:rsidTr="007D64CC">
        <w:tc>
          <w:tcPr>
            <w:tcW w:w="2628" w:type="dxa"/>
          </w:tcPr>
          <w:p w14:paraId="72D9152D" w14:textId="77777777" w:rsidR="00EF1C96" w:rsidRDefault="007D64CC"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Connections with Faculty</w:t>
            </w:r>
          </w:p>
          <w:p w14:paraId="0D0E45A1" w14:textId="77777777" w:rsidR="00EF1C96" w:rsidRPr="007D64CC" w:rsidRDefault="00EF1C96" w:rsidP="00EF1C96">
            <w:pPr>
              <w:rPr>
                <w:rFonts w:ascii="Times New Roman" w:eastAsia="Times New Roman" w:hAnsi="Times New Roman" w:cs="Times New Roman"/>
                <w:sz w:val="18"/>
                <w:szCs w:val="18"/>
              </w:rPr>
            </w:pPr>
          </w:p>
        </w:tc>
        <w:tc>
          <w:tcPr>
            <w:tcW w:w="2160" w:type="dxa"/>
          </w:tcPr>
          <w:p w14:paraId="7791E2B7" w14:textId="77777777" w:rsidR="007D64CC" w:rsidRPr="007D64CC" w:rsidRDefault="00EF1C96"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4.93</w:t>
            </w:r>
          </w:p>
        </w:tc>
        <w:tc>
          <w:tcPr>
            <w:tcW w:w="2394" w:type="dxa"/>
          </w:tcPr>
          <w:p w14:paraId="32B36D49" w14:textId="77777777" w:rsidR="007D64CC" w:rsidRPr="007D64CC" w:rsidRDefault="00EF1C96"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5.18</w:t>
            </w:r>
          </w:p>
        </w:tc>
        <w:tc>
          <w:tcPr>
            <w:tcW w:w="2394" w:type="dxa"/>
          </w:tcPr>
          <w:p w14:paraId="28744517" w14:textId="77777777" w:rsidR="007D64CC" w:rsidRPr="007D64CC" w:rsidRDefault="007D64CC"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+.25</w:t>
            </w:r>
          </w:p>
        </w:tc>
      </w:tr>
      <w:tr w:rsidR="007D64CC" w:rsidRPr="007D64CC" w14:paraId="0B68D319" w14:textId="77777777" w:rsidTr="007D64CC">
        <w:tc>
          <w:tcPr>
            <w:tcW w:w="2628" w:type="dxa"/>
          </w:tcPr>
          <w:p w14:paraId="6D166047" w14:textId="77777777" w:rsidR="00EF1C96" w:rsidRPr="007D64CC" w:rsidRDefault="007D64CC"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Engaging Pedagog</w:t>
            </w:r>
            <w:r w:rsidR="00EF1C96">
              <w:rPr>
                <w:rFonts w:ascii="Times New Roman" w:eastAsia="Times New Roman" w:hAnsi="Times New Roman" w:cs="Times New Roman"/>
                <w:sz w:val="18"/>
                <w:szCs w:val="18"/>
              </w:rPr>
              <w:t>y</w:t>
            </w:r>
          </w:p>
        </w:tc>
        <w:tc>
          <w:tcPr>
            <w:tcW w:w="2160" w:type="dxa"/>
          </w:tcPr>
          <w:p w14:paraId="0E787A7C" w14:textId="77777777" w:rsidR="007D64CC" w:rsidRPr="007D64CC" w:rsidRDefault="00EF1C96"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4.73</w:t>
            </w:r>
          </w:p>
        </w:tc>
        <w:tc>
          <w:tcPr>
            <w:tcW w:w="2394" w:type="dxa"/>
          </w:tcPr>
          <w:p w14:paraId="3EFF8FBC" w14:textId="77777777" w:rsidR="007D64CC" w:rsidRPr="007D64CC" w:rsidRDefault="00EF1C96"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5.41</w:t>
            </w:r>
          </w:p>
        </w:tc>
        <w:tc>
          <w:tcPr>
            <w:tcW w:w="2394" w:type="dxa"/>
          </w:tcPr>
          <w:p w14:paraId="6D39EAF9" w14:textId="77777777" w:rsidR="007D64CC" w:rsidRPr="007D64CC" w:rsidRDefault="007D64CC"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+.77</w:t>
            </w:r>
          </w:p>
          <w:p w14:paraId="61F83DD4" w14:textId="77777777" w:rsidR="007D64CC" w:rsidRPr="007D64CC" w:rsidRDefault="007D64CC" w:rsidP="00EF1C96">
            <w:pPr>
              <w:rPr>
                <w:rFonts w:ascii="Times New Roman" w:eastAsia="Times New Roman" w:hAnsi="Times New Roman" w:cs="Times New Roman"/>
                <w:sz w:val="18"/>
                <w:szCs w:val="18"/>
              </w:rPr>
            </w:pPr>
          </w:p>
        </w:tc>
      </w:tr>
      <w:tr w:rsidR="007D64CC" w:rsidRPr="007D64CC" w14:paraId="626013CD" w14:textId="77777777" w:rsidTr="007D64CC">
        <w:tc>
          <w:tcPr>
            <w:tcW w:w="2628" w:type="dxa"/>
          </w:tcPr>
          <w:p w14:paraId="4F771AD5" w14:textId="77777777" w:rsidR="007D64CC" w:rsidRPr="007D64CC" w:rsidRDefault="007D64CC"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Study Strategies</w:t>
            </w:r>
          </w:p>
        </w:tc>
        <w:tc>
          <w:tcPr>
            <w:tcW w:w="2160" w:type="dxa"/>
          </w:tcPr>
          <w:p w14:paraId="274D326D" w14:textId="77777777" w:rsidR="007D64CC" w:rsidRPr="007D64CC" w:rsidRDefault="00EF1C96"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4.55</w:t>
            </w:r>
          </w:p>
        </w:tc>
        <w:tc>
          <w:tcPr>
            <w:tcW w:w="2394" w:type="dxa"/>
          </w:tcPr>
          <w:p w14:paraId="5794394B" w14:textId="77777777" w:rsidR="007D64CC" w:rsidRPr="007D64CC" w:rsidRDefault="00EF1C96"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5.08</w:t>
            </w:r>
          </w:p>
        </w:tc>
        <w:tc>
          <w:tcPr>
            <w:tcW w:w="2394" w:type="dxa"/>
          </w:tcPr>
          <w:p w14:paraId="6C66C6D6" w14:textId="77777777" w:rsidR="007D64CC" w:rsidRPr="007D64CC" w:rsidRDefault="00EF1C96"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+.53</w:t>
            </w:r>
          </w:p>
          <w:p w14:paraId="3DE702B8" w14:textId="77777777" w:rsidR="007D64CC" w:rsidRPr="007D64CC" w:rsidRDefault="007D64CC" w:rsidP="00EF1C96">
            <w:pPr>
              <w:rPr>
                <w:rFonts w:ascii="Times New Roman" w:eastAsia="Times New Roman" w:hAnsi="Times New Roman" w:cs="Times New Roman"/>
                <w:sz w:val="18"/>
                <w:szCs w:val="18"/>
              </w:rPr>
            </w:pPr>
          </w:p>
        </w:tc>
      </w:tr>
      <w:tr w:rsidR="007D64CC" w:rsidRPr="007D64CC" w14:paraId="4B22D869" w14:textId="77777777" w:rsidTr="007D64CC">
        <w:tc>
          <w:tcPr>
            <w:tcW w:w="2628" w:type="dxa"/>
          </w:tcPr>
          <w:p w14:paraId="1AE479D7" w14:textId="77777777" w:rsidR="007D64CC" w:rsidRDefault="007D64CC"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Connections With Peers</w:t>
            </w:r>
          </w:p>
          <w:p w14:paraId="4A22E2D4" w14:textId="77777777" w:rsidR="00EF1C96" w:rsidRPr="007D64CC" w:rsidRDefault="00EF1C96" w:rsidP="00EF1C96">
            <w:pPr>
              <w:rPr>
                <w:rFonts w:ascii="Times New Roman" w:eastAsia="Times New Roman" w:hAnsi="Times New Roman" w:cs="Times New Roman"/>
                <w:sz w:val="18"/>
                <w:szCs w:val="18"/>
              </w:rPr>
            </w:pPr>
          </w:p>
        </w:tc>
        <w:tc>
          <w:tcPr>
            <w:tcW w:w="2160" w:type="dxa"/>
          </w:tcPr>
          <w:p w14:paraId="3764C1EC" w14:textId="77777777" w:rsidR="007D64CC" w:rsidRPr="007D64CC" w:rsidRDefault="00EF1C96"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4.55</w:t>
            </w:r>
          </w:p>
        </w:tc>
        <w:tc>
          <w:tcPr>
            <w:tcW w:w="2394" w:type="dxa"/>
          </w:tcPr>
          <w:p w14:paraId="2F704B95" w14:textId="77777777" w:rsidR="007D64CC" w:rsidRPr="007D64CC" w:rsidRDefault="00EF1C96"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5.24</w:t>
            </w:r>
          </w:p>
        </w:tc>
        <w:tc>
          <w:tcPr>
            <w:tcW w:w="2394" w:type="dxa"/>
          </w:tcPr>
          <w:p w14:paraId="02106C99" w14:textId="77777777" w:rsidR="007D64CC" w:rsidRPr="007D64CC" w:rsidRDefault="00EF1C96"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w:t>
            </w:r>
            <w:r>
              <w:rPr>
                <w:rFonts w:ascii="Times New Roman" w:eastAsia="Times New Roman" w:hAnsi="Times New Roman" w:cs="Times New Roman"/>
                <w:sz w:val="18"/>
                <w:szCs w:val="18"/>
              </w:rPr>
              <w:t>68</w:t>
            </w:r>
          </w:p>
        </w:tc>
      </w:tr>
      <w:tr w:rsidR="007D64CC" w:rsidRPr="007D64CC" w14:paraId="467D8B6A" w14:textId="77777777" w:rsidTr="007D64CC">
        <w:tc>
          <w:tcPr>
            <w:tcW w:w="2628" w:type="dxa"/>
          </w:tcPr>
          <w:p w14:paraId="12D52225" w14:textId="77777777" w:rsidR="007D64CC" w:rsidRPr="007D64CC" w:rsidRDefault="007D64CC"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Out of Class Engagement</w:t>
            </w:r>
          </w:p>
        </w:tc>
        <w:tc>
          <w:tcPr>
            <w:tcW w:w="2160" w:type="dxa"/>
          </w:tcPr>
          <w:p w14:paraId="158BA270" w14:textId="77777777" w:rsidR="007D64CC" w:rsidRPr="007D64CC" w:rsidRDefault="00874FB0"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4.24</w:t>
            </w:r>
          </w:p>
        </w:tc>
        <w:tc>
          <w:tcPr>
            <w:tcW w:w="2394" w:type="dxa"/>
          </w:tcPr>
          <w:p w14:paraId="28E3509F" w14:textId="77777777" w:rsidR="007D64CC" w:rsidRPr="007D64CC" w:rsidRDefault="00874FB0"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4.82</w:t>
            </w:r>
          </w:p>
        </w:tc>
        <w:tc>
          <w:tcPr>
            <w:tcW w:w="2394" w:type="dxa"/>
          </w:tcPr>
          <w:p w14:paraId="3398A480" w14:textId="77777777" w:rsidR="007D64CC" w:rsidRPr="007D64CC" w:rsidRDefault="007D64CC"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+.62</w:t>
            </w:r>
          </w:p>
          <w:p w14:paraId="01EB99F2" w14:textId="77777777" w:rsidR="007D64CC" w:rsidRPr="007D64CC" w:rsidRDefault="007D64CC" w:rsidP="00EF1C96">
            <w:pPr>
              <w:rPr>
                <w:rFonts w:ascii="Times New Roman" w:eastAsia="Times New Roman" w:hAnsi="Times New Roman" w:cs="Times New Roman"/>
                <w:sz w:val="18"/>
                <w:szCs w:val="18"/>
              </w:rPr>
            </w:pPr>
          </w:p>
        </w:tc>
      </w:tr>
      <w:tr w:rsidR="007D64CC" w:rsidRPr="007D64CC" w14:paraId="3F7C5611" w14:textId="77777777" w:rsidTr="007D64CC">
        <w:tc>
          <w:tcPr>
            <w:tcW w:w="2628" w:type="dxa"/>
          </w:tcPr>
          <w:p w14:paraId="595A4BAF" w14:textId="77777777" w:rsidR="007D64CC" w:rsidRPr="007D64CC" w:rsidRDefault="007D64CC"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Academic and Cognitive Skills</w:t>
            </w:r>
          </w:p>
        </w:tc>
        <w:tc>
          <w:tcPr>
            <w:tcW w:w="2160" w:type="dxa"/>
          </w:tcPr>
          <w:p w14:paraId="781651D0" w14:textId="77777777" w:rsidR="007D64CC" w:rsidRPr="007D64CC" w:rsidRDefault="00874FB0"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4.07</w:t>
            </w:r>
          </w:p>
        </w:tc>
        <w:tc>
          <w:tcPr>
            <w:tcW w:w="2394" w:type="dxa"/>
          </w:tcPr>
          <w:p w14:paraId="0B4D7F38" w14:textId="77777777" w:rsidR="007D64CC" w:rsidRPr="007D64CC" w:rsidRDefault="00874FB0" w:rsidP="00EF1C96">
            <w:pPr>
              <w:rPr>
                <w:rFonts w:ascii="Times New Roman" w:eastAsia="Times New Roman" w:hAnsi="Times New Roman" w:cs="Times New Roman"/>
                <w:sz w:val="18"/>
                <w:szCs w:val="18"/>
              </w:rPr>
            </w:pPr>
            <w:r>
              <w:rPr>
                <w:rFonts w:ascii="Times New Roman" w:eastAsia="Times New Roman" w:hAnsi="Times New Roman" w:cs="Times New Roman"/>
                <w:sz w:val="18"/>
                <w:szCs w:val="18"/>
              </w:rPr>
              <w:t>4.94</w:t>
            </w:r>
          </w:p>
        </w:tc>
        <w:tc>
          <w:tcPr>
            <w:tcW w:w="2394" w:type="dxa"/>
          </w:tcPr>
          <w:p w14:paraId="37163520" w14:textId="77777777" w:rsidR="007D64CC" w:rsidRPr="007D64CC" w:rsidRDefault="007D64CC" w:rsidP="00EF1C96">
            <w:pPr>
              <w:rPr>
                <w:rFonts w:ascii="Times New Roman" w:eastAsia="Times New Roman" w:hAnsi="Times New Roman" w:cs="Times New Roman"/>
                <w:sz w:val="18"/>
                <w:szCs w:val="18"/>
              </w:rPr>
            </w:pPr>
            <w:r w:rsidRPr="007D64CC">
              <w:rPr>
                <w:rFonts w:ascii="Times New Roman" w:eastAsia="Times New Roman" w:hAnsi="Times New Roman" w:cs="Times New Roman"/>
                <w:sz w:val="18"/>
                <w:szCs w:val="18"/>
              </w:rPr>
              <w:t>+.87</w:t>
            </w:r>
          </w:p>
          <w:p w14:paraId="6A00E5CA" w14:textId="77777777" w:rsidR="007D64CC" w:rsidRPr="007D64CC" w:rsidRDefault="007D64CC" w:rsidP="00EF1C96">
            <w:pPr>
              <w:rPr>
                <w:rFonts w:ascii="Times New Roman" w:eastAsia="Times New Roman" w:hAnsi="Times New Roman" w:cs="Times New Roman"/>
                <w:sz w:val="18"/>
                <w:szCs w:val="18"/>
              </w:rPr>
            </w:pPr>
          </w:p>
        </w:tc>
      </w:tr>
    </w:tbl>
    <w:p w14:paraId="1FFEA24B" w14:textId="77777777" w:rsidR="007D64CC" w:rsidRPr="007D64CC" w:rsidRDefault="007D64CC" w:rsidP="00EF1C96">
      <w:pPr>
        <w:spacing w:line="240" w:lineRule="auto"/>
        <w:rPr>
          <w:rFonts w:ascii="Times New Roman" w:eastAsia="Times New Roman" w:hAnsi="Times New Roman" w:cs="Times New Roman"/>
        </w:rPr>
      </w:pPr>
    </w:p>
    <w:p w14:paraId="06A4E21A" w14:textId="77777777" w:rsidR="00935112" w:rsidRDefault="00007B56">
      <w:pPr>
        <w:spacing w:line="240" w:lineRule="auto"/>
        <w:ind w:firstLine="720"/>
      </w:pPr>
      <w:r>
        <w:rPr>
          <w:rFonts w:ascii="Times New Roman" w:eastAsia="Times New Roman" w:hAnsi="Times New Roman" w:cs="Times New Roman"/>
        </w:rPr>
        <w:t xml:space="preserve">Of particular note were the gains made in </w:t>
      </w:r>
      <w:r>
        <w:rPr>
          <w:rFonts w:ascii="Times New Roman" w:eastAsia="Times New Roman" w:hAnsi="Times New Roman" w:cs="Times New Roman"/>
          <w:i/>
        </w:rPr>
        <w:t>Academic and Cognitive Skills</w:t>
      </w:r>
      <w:r>
        <w:rPr>
          <w:rFonts w:ascii="Times New Roman" w:eastAsia="Times New Roman" w:hAnsi="Times New Roman" w:cs="Times New Roman"/>
        </w:rPr>
        <w:t xml:space="preserve"> (+.87) and</w:t>
      </w:r>
      <w:r>
        <w:rPr>
          <w:rFonts w:ascii="Times New Roman" w:eastAsia="Times New Roman" w:hAnsi="Times New Roman" w:cs="Times New Roman"/>
          <w:i/>
        </w:rPr>
        <w:t xml:space="preserve"> Engaging Pedagogy</w:t>
      </w:r>
      <w:r>
        <w:rPr>
          <w:rFonts w:ascii="Times New Roman" w:eastAsia="Times New Roman" w:hAnsi="Times New Roman" w:cs="Times New Roman"/>
        </w:rPr>
        <w:t xml:space="preserve"> (+.77). </w:t>
      </w:r>
      <w:r>
        <w:rPr>
          <w:rFonts w:ascii="Times New Roman" w:eastAsia="Times New Roman" w:hAnsi="Times New Roman" w:cs="Times New Roman"/>
          <w:i/>
        </w:rPr>
        <w:t>Academic and Cognitive Skills</w:t>
      </w:r>
      <w:r>
        <w:rPr>
          <w:rFonts w:ascii="Times New Roman" w:eastAsia="Times New Roman" w:hAnsi="Times New Roman" w:cs="Times New Roman"/>
        </w:rPr>
        <w:t xml:space="preserve"> asked students questions related to their decision-making skills, reading, writing, and oral presentation skills, as well as their computer skills.  A variety of changes related to the Gateway may be attributed to improvements in this area: the addition of WRIT 106 into the curriculum, the implementation of the </w:t>
      </w:r>
      <w:proofErr w:type="spellStart"/>
      <w:r w:rsidR="009E00A0">
        <w:rPr>
          <w:rFonts w:ascii="Times New Roman" w:eastAsia="Times New Roman" w:hAnsi="Times New Roman" w:cs="Times New Roman"/>
        </w:rPr>
        <w:t>eP</w:t>
      </w:r>
      <w:r>
        <w:rPr>
          <w:rFonts w:ascii="Times New Roman" w:eastAsia="Times New Roman" w:hAnsi="Times New Roman" w:cs="Times New Roman"/>
        </w:rPr>
        <w:t>ortfolio</w:t>
      </w:r>
      <w:proofErr w:type="spellEnd"/>
      <w:r>
        <w:rPr>
          <w:rFonts w:ascii="Times New Roman" w:eastAsia="Times New Roman" w:hAnsi="Times New Roman" w:cs="Times New Roman"/>
        </w:rPr>
        <w:t xml:space="preserve">, and the emphasis on reflective learning across the curriculum. In terms of the gains in </w:t>
      </w:r>
      <w:r>
        <w:rPr>
          <w:rFonts w:ascii="Times New Roman" w:eastAsia="Times New Roman" w:hAnsi="Times New Roman" w:cs="Times New Roman"/>
          <w:i/>
        </w:rPr>
        <w:t xml:space="preserve">Engaging Pedagogy, </w:t>
      </w:r>
      <w:r>
        <w:rPr>
          <w:rFonts w:ascii="Times New Roman" w:eastAsia="Times New Roman" w:hAnsi="Times New Roman" w:cs="Times New Roman"/>
        </w:rPr>
        <w:t>there is a clear connection between the intentional facu</w:t>
      </w:r>
      <w:r w:rsidR="00010D12">
        <w:rPr>
          <w:rFonts w:ascii="Times New Roman" w:eastAsia="Times New Roman" w:hAnsi="Times New Roman" w:cs="Times New Roman"/>
        </w:rPr>
        <w:t xml:space="preserve">lty development initiatives and </w:t>
      </w:r>
      <w:r>
        <w:rPr>
          <w:rFonts w:ascii="Times New Roman" w:eastAsia="Times New Roman" w:hAnsi="Times New Roman" w:cs="Times New Roman"/>
        </w:rPr>
        <w:t xml:space="preserve">improved teaching practices. Faculty report positive experiences with faculty development programming and attribute the opportunity to participate in these activities as transformational to their teaching.   </w:t>
      </w:r>
    </w:p>
    <w:p w14:paraId="7E82C487" w14:textId="77777777" w:rsidR="00935112" w:rsidRDefault="00007B56">
      <w:pPr>
        <w:spacing w:after="200" w:line="240" w:lineRule="auto"/>
        <w:ind w:firstLine="720"/>
      </w:pPr>
      <w:r>
        <w:rPr>
          <w:rFonts w:ascii="Times New Roman" w:eastAsia="Times New Roman" w:hAnsi="Times New Roman" w:cs="Times New Roman"/>
        </w:rPr>
        <w:t>While the Educational Benchmarking First-Year Initiative Study provides comparative data on the Gateway implementation from year to year, other factors related to student success can be considered, such as first to second year retention, Dean’s List (3.2 G.P.A.) and President’s List (4.0) achievements, and academic standing data (probation, warning, and dismissal descriptive statistics). Preliminary assessments in these areas pointed to institutional gains in student success indicators during the initial Gateway implementation year. For example, first to second year retention improved by 2.3% during the implementation year.</w:t>
      </w:r>
    </w:p>
    <w:p w14:paraId="79BA5B03" w14:textId="77777777" w:rsidR="00C07EA2" w:rsidRPr="009C2A58" w:rsidRDefault="00C07EA2" w:rsidP="00C07EA2">
      <w:pPr>
        <w:rPr>
          <w:rFonts w:ascii="Times New Roman" w:hAnsi="Times New Roman"/>
          <w:i/>
          <w:iCs/>
          <w:sz w:val="18"/>
          <w:szCs w:val="18"/>
        </w:rPr>
      </w:pPr>
      <w:r>
        <w:rPr>
          <w:rFonts w:ascii="Times New Roman" w:hAnsi="Times New Roman"/>
          <w:sz w:val="18"/>
          <w:szCs w:val="18"/>
        </w:rPr>
        <w:t xml:space="preserve">Table 5: </w:t>
      </w:r>
      <w:r>
        <w:rPr>
          <w:rFonts w:ascii="Times New Roman" w:hAnsi="Times New Roman"/>
          <w:i/>
          <w:iCs/>
          <w:sz w:val="18"/>
          <w:szCs w:val="18"/>
        </w:rPr>
        <w:t>Retention Rates Pre and Post Gateway Implementation</w:t>
      </w:r>
    </w:p>
    <w:tbl>
      <w:tblPr>
        <w:tblStyle w:val="TableGrid"/>
        <w:tblW w:w="0" w:type="auto"/>
        <w:tblLook w:val="04A0" w:firstRow="1" w:lastRow="0" w:firstColumn="1" w:lastColumn="0" w:noHBand="0" w:noVBand="1"/>
      </w:tblPr>
      <w:tblGrid>
        <w:gridCol w:w="2336"/>
        <w:gridCol w:w="2337"/>
        <w:gridCol w:w="2461"/>
        <w:gridCol w:w="2216"/>
      </w:tblGrid>
      <w:tr w:rsidR="00C07EA2" w:rsidRPr="00DF2164" w14:paraId="767452EB" w14:textId="77777777" w:rsidTr="009B0886">
        <w:tc>
          <w:tcPr>
            <w:tcW w:w="4788" w:type="dxa"/>
            <w:gridSpan w:val="2"/>
            <w:tcBorders>
              <w:right w:val="single" w:sz="48" w:space="0" w:color="auto"/>
            </w:tcBorders>
          </w:tcPr>
          <w:p w14:paraId="7D42788C" w14:textId="77777777" w:rsidR="00C07EA2" w:rsidRPr="00DF2164" w:rsidRDefault="00C07EA2" w:rsidP="009B0886">
            <w:pPr>
              <w:jc w:val="center"/>
              <w:rPr>
                <w:rFonts w:ascii="Times New Roman" w:hAnsi="Times New Roman" w:cs="Times New Roman"/>
                <w:b/>
                <w:sz w:val="18"/>
                <w:szCs w:val="18"/>
              </w:rPr>
            </w:pPr>
            <w:r w:rsidRPr="00DF2164">
              <w:rPr>
                <w:rFonts w:ascii="Times New Roman" w:hAnsi="Times New Roman" w:cs="Times New Roman"/>
                <w:b/>
                <w:iCs/>
                <w:sz w:val="18"/>
                <w:szCs w:val="18"/>
              </w:rPr>
              <w:t>First to Second Year</w:t>
            </w:r>
          </w:p>
        </w:tc>
        <w:tc>
          <w:tcPr>
            <w:tcW w:w="4788" w:type="dxa"/>
            <w:gridSpan w:val="2"/>
            <w:tcBorders>
              <w:left w:val="single" w:sz="48" w:space="0" w:color="auto"/>
            </w:tcBorders>
          </w:tcPr>
          <w:p w14:paraId="7A1799CD" w14:textId="77777777" w:rsidR="00C07EA2" w:rsidRPr="00DF2164" w:rsidRDefault="00C07EA2" w:rsidP="009B0886">
            <w:pPr>
              <w:jc w:val="center"/>
              <w:rPr>
                <w:rFonts w:ascii="Times New Roman" w:hAnsi="Times New Roman" w:cs="Times New Roman"/>
                <w:b/>
                <w:sz w:val="18"/>
                <w:szCs w:val="18"/>
              </w:rPr>
            </w:pPr>
            <w:r w:rsidRPr="00DF2164">
              <w:rPr>
                <w:rFonts w:ascii="Times New Roman" w:hAnsi="Times New Roman" w:cs="Times New Roman"/>
                <w:b/>
                <w:sz w:val="18"/>
                <w:szCs w:val="18"/>
              </w:rPr>
              <w:t>First to Second Semester</w:t>
            </w:r>
          </w:p>
        </w:tc>
      </w:tr>
      <w:tr w:rsidR="00C07EA2" w:rsidRPr="00DF2164" w14:paraId="69E2B319" w14:textId="77777777" w:rsidTr="009B0886">
        <w:tc>
          <w:tcPr>
            <w:tcW w:w="2394" w:type="dxa"/>
          </w:tcPr>
          <w:p w14:paraId="679DEE8A" w14:textId="77777777" w:rsidR="00C07EA2" w:rsidRPr="00C07EA2" w:rsidRDefault="00C07EA2" w:rsidP="00C07EA2">
            <w:pPr>
              <w:jc w:val="center"/>
              <w:rPr>
                <w:rFonts w:ascii="Times New Roman" w:hAnsi="Times New Roman" w:cs="Times New Roman"/>
                <w:b/>
                <w:sz w:val="18"/>
                <w:szCs w:val="18"/>
              </w:rPr>
            </w:pPr>
            <w:r w:rsidRPr="00C07EA2">
              <w:rPr>
                <w:rFonts w:ascii="Times New Roman" w:hAnsi="Times New Roman" w:cs="Times New Roman"/>
                <w:b/>
                <w:sz w:val="18"/>
                <w:szCs w:val="18"/>
              </w:rPr>
              <w:t>2011-2012</w:t>
            </w:r>
          </w:p>
          <w:p w14:paraId="30D51700" w14:textId="77777777" w:rsidR="00C07EA2" w:rsidRPr="00C07EA2" w:rsidRDefault="00C07EA2" w:rsidP="00C07EA2">
            <w:pPr>
              <w:jc w:val="center"/>
              <w:rPr>
                <w:rFonts w:ascii="Times New Roman" w:hAnsi="Times New Roman" w:cs="Times New Roman"/>
                <w:sz w:val="18"/>
                <w:szCs w:val="18"/>
              </w:rPr>
            </w:pPr>
          </w:p>
        </w:tc>
        <w:tc>
          <w:tcPr>
            <w:tcW w:w="2394" w:type="dxa"/>
            <w:tcBorders>
              <w:right w:val="single" w:sz="48" w:space="0" w:color="auto"/>
            </w:tcBorders>
          </w:tcPr>
          <w:p w14:paraId="79E01FEE" w14:textId="77777777" w:rsidR="00C07EA2" w:rsidRPr="00C07EA2" w:rsidRDefault="00C07EA2" w:rsidP="00C07EA2">
            <w:pPr>
              <w:jc w:val="center"/>
              <w:rPr>
                <w:rFonts w:ascii="Times New Roman" w:hAnsi="Times New Roman" w:cs="Times New Roman"/>
                <w:sz w:val="18"/>
                <w:szCs w:val="18"/>
              </w:rPr>
            </w:pPr>
            <w:r w:rsidRPr="00C07EA2">
              <w:rPr>
                <w:rFonts w:ascii="Times New Roman" w:hAnsi="Times New Roman" w:cs="Times New Roman"/>
                <w:sz w:val="18"/>
                <w:szCs w:val="18"/>
              </w:rPr>
              <w:t>87.6%</w:t>
            </w:r>
          </w:p>
        </w:tc>
        <w:tc>
          <w:tcPr>
            <w:tcW w:w="2520" w:type="dxa"/>
            <w:tcBorders>
              <w:left w:val="single" w:sz="48" w:space="0" w:color="auto"/>
            </w:tcBorders>
          </w:tcPr>
          <w:p w14:paraId="2635F1DC" w14:textId="77777777" w:rsidR="00C07EA2" w:rsidRPr="00C07EA2" w:rsidRDefault="00C07EA2" w:rsidP="00C07EA2">
            <w:pPr>
              <w:jc w:val="center"/>
              <w:rPr>
                <w:rFonts w:ascii="Times New Roman" w:hAnsi="Times New Roman" w:cs="Times New Roman"/>
                <w:b/>
                <w:sz w:val="18"/>
                <w:szCs w:val="18"/>
              </w:rPr>
            </w:pPr>
            <w:r w:rsidRPr="00C07EA2">
              <w:rPr>
                <w:rFonts w:ascii="Times New Roman" w:hAnsi="Times New Roman" w:cs="Times New Roman"/>
                <w:b/>
                <w:sz w:val="18"/>
                <w:szCs w:val="18"/>
              </w:rPr>
              <w:t>Fall 2011-Spring 2012</w:t>
            </w:r>
          </w:p>
        </w:tc>
        <w:tc>
          <w:tcPr>
            <w:tcW w:w="2268" w:type="dxa"/>
          </w:tcPr>
          <w:p w14:paraId="7E8C5D42" w14:textId="77777777" w:rsidR="00C07EA2" w:rsidRPr="00C07EA2" w:rsidRDefault="00C07EA2" w:rsidP="00C07EA2">
            <w:pPr>
              <w:jc w:val="center"/>
              <w:rPr>
                <w:rFonts w:ascii="Times New Roman" w:hAnsi="Times New Roman" w:cs="Times New Roman"/>
                <w:sz w:val="18"/>
                <w:szCs w:val="18"/>
              </w:rPr>
            </w:pPr>
            <w:r w:rsidRPr="00C07EA2">
              <w:rPr>
                <w:rFonts w:ascii="Times New Roman" w:hAnsi="Times New Roman" w:cs="Times New Roman"/>
                <w:sz w:val="18"/>
                <w:szCs w:val="18"/>
              </w:rPr>
              <w:t>96.2%</w:t>
            </w:r>
          </w:p>
        </w:tc>
      </w:tr>
      <w:tr w:rsidR="00C07EA2" w:rsidRPr="00DF2164" w14:paraId="4B0B8DA5" w14:textId="77777777" w:rsidTr="009B0886">
        <w:tc>
          <w:tcPr>
            <w:tcW w:w="2394" w:type="dxa"/>
          </w:tcPr>
          <w:p w14:paraId="38FDA551" w14:textId="77777777" w:rsidR="00C07EA2" w:rsidRPr="00C07EA2" w:rsidRDefault="00C07EA2" w:rsidP="00C07EA2">
            <w:pPr>
              <w:jc w:val="center"/>
              <w:rPr>
                <w:rFonts w:ascii="Times New Roman" w:hAnsi="Times New Roman" w:cs="Times New Roman"/>
                <w:b/>
                <w:bCs/>
                <w:sz w:val="18"/>
                <w:szCs w:val="18"/>
              </w:rPr>
            </w:pPr>
            <w:r w:rsidRPr="00C07EA2">
              <w:rPr>
                <w:rFonts w:ascii="Times New Roman" w:hAnsi="Times New Roman" w:cs="Times New Roman"/>
                <w:b/>
                <w:bCs/>
                <w:sz w:val="18"/>
                <w:szCs w:val="18"/>
              </w:rPr>
              <w:t>2012-2013</w:t>
            </w:r>
          </w:p>
          <w:p w14:paraId="75BBE918" w14:textId="77777777" w:rsidR="00C07EA2" w:rsidRPr="00C07EA2" w:rsidRDefault="00C07EA2" w:rsidP="00C07EA2">
            <w:pPr>
              <w:jc w:val="center"/>
              <w:rPr>
                <w:rFonts w:ascii="Times New Roman" w:hAnsi="Times New Roman" w:cs="Times New Roman"/>
                <w:sz w:val="18"/>
                <w:szCs w:val="18"/>
              </w:rPr>
            </w:pPr>
          </w:p>
        </w:tc>
        <w:tc>
          <w:tcPr>
            <w:tcW w:w="2394" w:type="dxa"/>
            <w:tcBorders>
              <w:right w:val="single" w:sz="48" w:space="0" w:color="auto"/>
            </w:tcBorders>
          </w:tcPr>
          <w:p w14:paraId="44EA214C" w14:textId="77777777" w:rsidR="00C07EA2" w:rsidRPr="00C07EA2" w:rsidRDefault="00C07EA2" w:rsidP="00C07EA2">
            <w:pPr>
              <w:jc w:val="center"/>
              <w:rPr>
                <w:rFonts w:ascii="Times New Roman" w:hAnsi="Times New Roman" w:cs="Times New Roman"/>
                <w:sz w:val="18"/>
                <w:szCs w:val="18"/>
              </w:rPr>
            </w:pPr>
            <w:r w:rsidRPr="00C07EA2">
              <w:rPr>
                <w:rFonts w:ascii="Times New Roman" w:hAnsi="Times New Roman" w:cs="Times New Roman"/>
                <w:sz w:val="18"/>
                <w:szCs w:val="18"/>
              </w:rPr>
              <w:t>89.9%</w:t>
            </w:r>
          </w:p>
        </w:tc>
        <w:tc>
          <w:tcPr>
            <w:tcW w:w="2520" w:type="dxa"/>
            <w:tcBorders>
              <w:left w:val="single" w:sz="48" w:space="0" w:color="auto"/>
            </w:tcBorders>
          </w:tcPr>
          <w:p w14:paraId="650C49E2" w14:textId="77777777" w:rsidR="00C07EA2" w:rsidRPr="00C07EA2" w:rsidRDefault="00C07EA2" w:rsidP="00C07EA2">
            <w:pPr>
              <w:jc w:val="center"/>
              <w:rPr>
                <w:rFonts w:ascii="Times New Roman" w:hAnsi="Times New Roman" w:cs="Times New Roman"/>
                <w:sz w:val="18"/>
                <w:szCs w:val="18"/>
              </w:rPr>
            </w:pPr>
            <w:r w:rsidRPr="00C07EA2">
              <w:rPr>
                <w:rFonts w:ascii="Times New Roman" w:hAnsi="Times New Roman" w:cs="Times New Roman"/>
                <w:b/>
                <w:sz w:val="18"/>
                <w:szCs w:val="18"/>
              </w:rPr>
              <w:t>Fall 2012-Spring 2013</w:t>
            </w:r>
          </w:p>
        </w:tc>
        <w:tc>
          <w:tcPr>
            <w:tcW w:w="2268" w:type="dxa"/>
          </w:tcPr>
          <w:p w14:paraId="237B44CF" w14:textId="77777777" w:rsidR="00C07EA2" w:rsidRPr="00C07EA2" w:rsidRDefault="00C07EA2" w:rsidP="00C07EA2">
            <w:pPr>
              <w:jc w:val="center"/>
              <w:rPr>
                <w:rFonts w:ascii="Times New Roman" w:hAnsi="Times New Roman" w:cs="Times New Roman"/>
                <w:sz w:val="18"/>
                <w:szCs w:val="18"/>
              </w:rPr>
            </w:pPr>
            <w:r w:rsidRPr="00C07EA2">
              <w:rPr>
                <w:rFonts w:ascii="Times New Roman" w:hAnsi="Times New Roman" w:cs="Times New Roman"/>
                <w:sz w:val="18"/>
                <w:szCs w:val="18"/>
              </w:rPr>
              <w:t>97.0%</w:t>
            </w:r>
          </w:p>
        </w:tc>
      </w:tr>
      <w:tr w:rsidR="00C07EA2" w:rsidRPr="00DF2164" w14:paraId="75179BFF" w14:textId="77777777" w:rsidTr="009B0886">
        <w:tc>
          <w:tcPr>
            <w:tcW w:w="4788" w:type="dxa"/>
            <w:gridSpan w:val="2"/>
            <w:tcBorders>
              <w:right w:val="single" w:sz="48" w:space="0" w:color="auto"/>
            </w:tcBorders>
            <w:shd w:val="clear" w:color="auto" w:fill="D9D9D9" w:themeFill="background1" w:themeFillShade="D9"/>
          </w:tcPr>
          <w:p w14:paraId="1545C19E" w14:textId="77777777" w:rsidR="00C07EA2" w:rsidRPr="00C07EA2" w:rsidRDefault="00C07EA2" w:rsidP="00C07EA2">
            <w:pPr>
              <w:jc w:val="center"/>
              <w:rPr>
                <w:rFonts w:ascii="Times New Roman" w:hAnsi="Times New Roman" w:cs="Times New Roman"/>
                <w:sz w:val="18"/>
                <w:szCs w:val="18"/>
              </w:rPr>
            </w:pPr>
          </w:p>
          <w:p w14:paraId="30219999" w14:textId="77777777" w:rsidR="00C07EA2" w:rsidRPr="00C07EA2" w:rsidRDefault="00C07EA2" w:rsidP="00C07EA2">
            <w:pPr>
              <w:jc w:val="center"/>
              <w:rPr>
                <w:rFonts w:ascii="Times New Roman" w:hAnsi="Times New Roman" w:cs="Times New Roman"/>
                <w:sz w:val="18"/>
                <w:szCs w:val="18"/>
              </w:rPr>
            </w:pPr>
          </w:p>
        </w:tc>
        <w:tc>
          <w:tcPr>
            <w:tcW w:w="2520" w:type="dxa"/>
            <w:tcBorders>
              <w:left w:val="single" w:sz="48" w:space="0" w:color="auto"/>
            </w:tcBorders>
          </w:tcPr>
          <w:p w14:paraId="140E5C33" w14:textId="77777777" w:rsidR="00C07EA2" w:rsidRPr="00C07EA2" w:rsidRDefault="00C07EA2" w:rsidP="00C07EA2">
            <w:pPr>
              <w:jc w:val="center"/>
              <w:rPr>
                <w:rFonts w:ascii="Times New Roman" w:hAnsi="Times New Roman" w:cs="Times New Roman"/>
                <w:b/>
                <w:sz w:val="18"/>
                <w:szCs w:val="18"/>
              </w:rPr>
            </w:pPr>
            <w:r w:rsidRPr="00C07EA2">
              <w:rPr>
                <w:rFonts w:ascii="Times New Roman" w:hAnsi="Times New Roman" w:cs="Times New Roman"/>
                <w:b/>
                <w:sz w:val="18"/>
                <w:szCs w:val="18"/>
              </w:rPr>
              <w:t>Fall 2013 to Spring 2014</w:t>
            </w:r>
          </w:p>
        </w:tc>
        <w:tc>
          <w:tcPr>
            <w:tcW w:w="2268" w:type="dxa"/>
          </w:tcPr>
          <w:p w14:paraId="05F3CD4C" w14:textId="77777777" w:rsidR="00C07EA2" w:rsidRPr="00C07EA2" w:rsidRDefault="00C07EA2" w:rsidP="00C07EA2">
            <w:pPr>
              <w:jc w:val="center"/>
              <w:rPr>
                <w:rFonts w:ascii="Times New Roman" w:hAnsi="Times New Roman" w:cs="Times New Roman"/>
                <w:sz w:val="18"/>
                <w:szCs w:val="18"/>
              </w:rPr>
            </w:pPr>
            <w:r w:rsidRPr="00C07EA2">
              <w:rPr>
                <w:rFonts w:ascii="Times New Roman" w:hAnsi="Times New Roman" w:cs="Times New Roman"/>
                <w:sz w:val="18"/>
                <w:szCs w:val="18"/>
              </w:rPr>
              <w:t>95.3%</w:t>
            </w:r>
          </w:p>
        </w:tc>
      </w:tr>
    </w:tbl>
    <w:p w14:paraId="25C8791A" w14:textId="77777777" w:rsidR="00C07EA2" w:rsidRPr="00DF2164" w:rsidRDefault="00C07EA2" w:rsidP="00C07EA2">
      <w:pPr>
        <w:rPr>
          <w:sz w:val="18"/>
          <w:szCs w:val="18"/>
        </w:rPr>
      </w:pPr>
    </w:p>
    <w:p w14:paraId="16DAB0D7" w14:textId="77777777" w:rsidR="00935112" w:rsidRDefault="00007B56">
      <w:pPr>
        <w:spacing w:after="200" w:line="240" w:lineRule="auto"/>
      </w:pPr>
      <w:r>
        <w:rPr>
          <w:rFonts w:ascii="Times New Roman" w:eastAsia="Times New Roman" w:hAnsi="Times New Roman" w:cs="Times New Roman"/>
        </w:rPr>
        <w:t>The percentage of students who achieved Dean’s List after their first semester also increased; Dean’s List achievements improved by 8% from the fall of 2011 to the fall of 2013.</w:t>
      </w:r>
    </w:p>
    <w:p w14:paraId="5EBEEC24" w14:textId="77777777" w:rsidR="00935112" w:rsidRDefault="00381DB1" w:rsidP="009C2A58">
      <w:r>
        <w:rPr>
          <w:rFonts w:ascii="Times New Roman" w:eastAsia="Times New Roman" w:hAnsi="Times New Roman" w:cs="Times New Roman"/>
          <w:sz w:val="18"/>
        </w:rPr>
        <w:t>Table 6</w:t>
      </w:r>
      <w:r w:rsidR="00007B56">
        <w:rPr>
          <w:rFonts w:ascii="Times New Roman" w:eastAsia="Times New Roman" w:hAnsi="Times New Roman" w:cs="Times New Roman"/>
          <w:sz w:val="18"/>
        </w:rPr>
        <w:t xml:space="preserve">: </w:t>
      </w:r>
      <w:r w:rsidR="00007B56">
        <w:rPr>
          <w:rFonts w:ascii="Times New Roman" w:eastAsia="Times New Roman" w:hAnsi="Times New Roman" w:cs="Times New Roman"/>
          <w:i/>
          <w:sz w:val="18"/>
        </w:rPr>
        <w:t>First-Year (FY) Dean’s List and President’s List</w:t>
      </w:r>
    </w:p>
    <w:tbl>
      <w:tblPr>
        <w:tblStyle w:val="a5"/>
        <w:tblW w:w="5000" w:type="pct"/>
        <w:tblBorders>
          <w:top w:val="single" w:sz="6" w:space="0" w:color="000000"/>
          <w:left w:val="single" w:sz="6" w:space="0" w:color="000000"/>
          <w:bottom w:val="single" w:sz="6" w:space="0" w:color="000000"/>
          <w:right w:val="single" w:sz="6" w:space="0" w:color="000000"/>
        </w:tblBorders>
        <w:tblLook w:val="0600" w:firstRow="0" w:lastRow="0" w:firstColumn="0" w:lastColumn="0" w:noHBand="1" w:noVBand="1"/>
      </w:tblPr>
      <w:tblGrid>
        <w:gridCol w:w="1947"/>
        <w:gridCol w:w="2011"/>
        <w:gridCol w:w="1362"/>
        <w:gridCol w:w="2675"/>
        <w:gridCol w:w="1345"/>
      </w:tblGrid>
      <w:tr w:rsidR="00935112" w14:paraId="10326BEF" w14:textId="77777777" w:rsidTr="00C07EA2">
        <w:trPr>
          <w:trHeight w:val="529"/>
        </w:trPr>
        <w:tc>
          <w:tcPr>
            <w:tcW w:w="1042" w:type="pct"/>
            <w:tcBorders>
              <w:top w:val="single" w:sz="8" w:space="0" w:color="000000"/>
              <w:left w:val="single" w:sz="8" w:space="0" w:color="000000"/>
              <w:bottom w:val="single" w:sz="8" w:space="0" w:color="000000"/>
              <w:right w:val="single" w:sz="8" w:space="0" w:color="000000"/>
            </w:tcBorders>
            <w:shd w:val="clear" w:color="auto" w:fill="D9D9D9"/>
          </w:tcPr>
          <w:p w14:paraId="5D75F838" w14:textId="77777777" w:rsidR="00C07EA2" w:rsidRPr="00C07EA2" w:rsidRDefault="00007B56">
            <w:pPr>
              <w:rPr>
                <w:rFonts w:ascii="Times New Roman" w:eastAsia="Times New Roman" w:hAnsi="Times New Roman" w:cs="Times New Roman"/>
                <w:b/>
                <w:sz w:val="18"/>
                <w:shd w:val="clear" w:color="auto" w:fill="D9D9D9"/>
              </w:rPr>
            </w:pPr>
            <w:r>
              <w:rPr>
                <w:rFonts w:ascii="Times New Roman" w:eastAsia="Times New Roman" w:hAnsi="Times New Roman" w:cs="Times New Roman"/>
                <w:b/>
                <w:sz w:val="18"/>
                <w:shd w:val="clear" w:color="auto" w:fill="D9D9D9"/>
              </w:rPr>
              <w:t>Term</w:t>
            </w:r>
          </w:p>
        </w:tc>
        <w:tc>
          <w:tcPr>
            <w:tcW w:w="1076" w:type="pct"/>
            <w:tcBorders>
              <w:top w:val="single" w:sz="8" w:space="0" w:color="000000"/>
              <w:bottom w:val="single" w:sz="8" w:space="0" w:color="000000"/>
              <w:right w:val="single" w:sz="8" w:space="0" w:color="000000"/>
            </w:tcBorders>
            <w:shd w:val="clear" w:color="auto" w:fill="D9D9D9"/>
          </w:tcPr>
          <w:p w14:paraId="11C05FB4" w14:textId="77777777" w:rsidR="00935112" w:rsidRDefault="00007B56">
            <w:r>
              <w:rPr>
                <w:rFonts w:ascii="Times New Roman" w:eastAsia="Times New Roman" w:hAnsi="Times New Roman" w:cs="Times New Roman"/>
                <w:b/>
                <w:sz w:val="18"/>
                <w:shd w:val="clear" w:color="auto" w:fill="D9D9D9"/>
              </w:rPr>
              <w:t>1st Year Dean's List</w:t>
            </w:r>
          </w:p>
        </w:tc>
        <w:tc>
          <w:tcPr>
            <w:tcW w:w="729" w:type="pct"/>
            <w:tcBorders>
              <w:top w:val="single" w:sz="8" w:space="0" w:color="000000"/>
              <w:bottom w:val="single" w:sz="8" w:space="0" w:color="000000"/>
              <w:right w:val="single" w:sz="8" w:space="0" w:color="000000"/>
            </w:tcBorders>
            <w:shd w:val="clear" w:color="auto" w:fill="D9D9D9"/>
          </w:tcPr>
          <w:p w14:paraId="1C242A53" w14:textId="77777777" w:rsidR="00935112" w:rsidRDefault="00007B56">
            <w:r>
              <w:rPr>
                <w:rFonts w:ascii="Times New Roman" w:eastAsia="Times New Roman" w:hAnsi="Times New Roman" w:cs="Times New Roman"/>
                <w:b/>
                <w:sz w:val="18"/>
                <w:shd w:val="clear" w:color="auto" w:fill="D9D9D9"/>
              </w:rPr>
              <w:t>% of  FY</w:t>
            </w:r>
          </w:p>
        </w:tc>
        <w:tc>
          <w:tcPr>
            <w:tcW w:w="1432" w:type="pct"/>
            <w:tcBorders>
              <w:top w:val="single" w:sz="8" w:space="0" w:color="000000"/>
              <w:bottom w:val="single" w:sz="8" w:space="0" w:color="000000"/>
              <w:right w:val="single" w:sz="8" w:space="0" w:color="000000"/>
            </w:tcBorders>
            <w:shd w:val="clear" w:color="auto" w:fill="D9D9D9"/>
          </w:tcPr>
          <w:p w14:paraId="327872E4" w14:textId="77777777" w:rsidR="00935112" w:rsidRDefault="00007B56">
            <w:r>
              <w:rPr>
                <w:rFonts w:ascii="Times New Roman" w:eastAsia="Times New Roman" w:hAnsi="Times New Roman" w:cs="Times New Roman"/>
                <w:b/>
                <w:sz w:val="18"/>
                <w:shd w:val="clear" w:color="auto" w:fill="D9D9D9"/>
              </w:rPr>
              <w:t>1</w:t>
            </w:r>
            <w:r>
              <w:rPr>
                <w:rFonts w:ascii="Times New Roman" w:eastAsia="Times New Roman" w:hAnsi="Times New Roman" w:cs="Times New Roman"/>
                <w:b/>
                <w:sz w:val="18"/>
                <w:shd w:val="clear" w:color="auto" w:fill="D9D9D9"/>
                <w:vertAlign w:val="superscript"/>
              </w:rPr>
              <w:t>st</w:t>
            </w:r>
            <w:r>
              <w:rPr>
                <w:rFonts w:ascii="Times New Roman" w:eastAsia="Times New Roman" w:hAnsi="Times New Roman" w:cs="Times New Roman"/>
                <w:b/>
                <w:sz w:val="18"/>
                <w:shd w:val="clear" w:color="auto" w:fill="D9D9D9"/>
              </w:rPr>
              <w:t xml:space="preserve"> Year President's List</w:t>
            </w:r>
          </w:p>
        </w:tc>
        <w:tc>
          <w:tcPr>
            <w:tcW w:w="720" w:type="pct"/>
            <w:tcBorders>
              <w:top w:val="single" w:sz="8" w:space="0" w:color="000000"/>
              <w:bottom w:val="single" w:sz="8" w:space="0" w:color="000000"/>
              <w:right w:val="single" w:sz="8" w:space="0" w:color="000000"/>
            </w:tcBorders>
            <w:shd w:val="clear" w:color="auto" w:fill="D9D9D9"/>
          </w:tcPr>
          <w:p w14:paraId="51DC6C45" w14:textId="77777777" w:rsidR="00935112" w:rsidRDefault="00007B56">
            <w:r>
              <w:rPr>
                <w:rFonts w:ascii="Times New Roman" w:eastAsia="Times New Roman" w:hAnsi="Times New Roman" w:cs="Times New Roman"/>
                <w:b/>
                <w:sz w:val="18"/>
                <w:shd w:val="clear" w:color="auto" w:fill="D9D9D9"/>
              </w:rPr>
              <w:t>% of  FY</w:t>
            </w:r>
          </w:p>
        </w:tc>
      </w:tr>
      <w:tr w:rsidR="00935112" w14:paraId="0D2F3CA5" w14:textId="77777777" w:rsidTr="00C07EA2">
        <w:trPr>
          <w:trHeight w:val="529"/>
        </w:trPr>
        <w:tc>
          <w:tcPr>
            <w:tcW w:w="1042" w:type="pct"/>
            <w:tcBorders>
              <w:left w:val="single" w:sz="8" w:space="0" w:color="000000"/>
              <w:bottom w:val="single" w:sz="8" w:space="0" w:color="000000"/>
              <w:right w:val="single" w:sz="8" w:space="0" w:color="000000"/>
            </w:tcBorders>
          </w:tcPr>
          <w:p w14:paraId="796373A2" w14:textId="77777777" w:rsidR="00935112" w:rsidRPr="009C2A58" w:rsidRDefault="00007B56">
            <w:pPr>
              <w:rPr>
                <w:b/>
              </w:rPr>
            </w:pPr>
            <w:r w:rsidRPr="009C2A58">
              <w:rPr>
                <w:rFonts w:ascii="Times New Roman" w:eastAsia="Times New Roman" w:hAnsi="Times New Roman" w:cs="Times New Roman"/>
                <w:b/>
                <w:sz w:val="18"/>
              </w:rPr>
              <w:t>Fall 2011</w:t>
            </w:r>
          </w:p>
          <w:p w14:paraId="7757F673" w14:textId="77777777" w:rsidR="00935112" w:rsidRPr="009C2A58" w:rsidRDefault="00935112">
            <w:pPr>
              <w:rPr>
                <w:b/>
              </w:rPr>
            </w:pPr>
          </w:p>
        </w:tc>
        <w:tc>
          <w:tcPr>
            <w:tcW w:w="1076" w:type="pct"/>
            <w:tcBorders>
              <w:bottom w:val="single" w:sz="8" w:space="0" w:color="000000"/>
              <w:right w:val="single" w:sz="8" w:space="0" w:color="000000"/>
            </w:tcBorders>
          </w:tcPr>
          <w:p w14:paraId="04968980" w14:textId="77777777" w:rsidR="00935112" w:rsidRPr="009C2A58" w:rsidRDefault="00007B56">
            <w:r w:rsidRPr="009C2A58">
              <w:rPr>
                <w:rFonts w:ascii="Times New Roman" w:eastAsia="Times New Roman" w:hAnsi="Times New Roman" w:cs="Times New Roman"/>
                <w:sz w:val="18"/>
              </w:rPr>
              <w:t>318</w:t>
            </w:r>
          </w:p>
        </w:tc>
        <w:tc>
          <w:tcPr>
            <w:tcW w:w="729" w:type="pct"/>
            <w:tcBorders>
              <w:bottom w:val="single" w:sz="8" w:space="0" w:color="000000"/>
              <w:right w:val="single" w:sz="8" w:space="0" w:color="000000"/>
            </w:tcBorders>
          </w:tcPr>
          <w:p w14:paraId="1E25A062" w14:textId="77777777" w:rsidR="00935112" w:rsidRPr="009C2A58" w:rsidRDefault="00007B56">
            <w:r w:rsidRPr="009C2A58">
              <w:rPr>
                <w:rFonts w:ascii="Times New Roman" w:eastAsia="Times New Roman" w:hAnsi="Times New Roman" w:cs="Times New Roman"/>
                <w:sz w:val="18"/>
              </w:rPr>
              <w:t>39%</w:t>
            </w:r>
          </w:p>
        </w:tc>
        <w:tc>
          <w:tcPr>
            <w:tcW w:w="1432" w:type="pct"/>
            <w:tcBorders>
              <w:bottom w:val="single" w:sz="8" w:space="0" w:color="000000"/>
              <w:right w:val="single" w:sz="8" w:space="0" w:color="000000"/>
            </w:tcBorders>
          </w:tcPr>
          <w:p w14:paraId="2486A1E0" w14:textId="77777777" w:rsidR="00935112" w:rsidRPr="009C2A58" w:rsidRDefault="00007B56">
            <w:r w:rsidRPr="009C2A58">
              <w:rPr>
                <w:rFonts w:ascii="Times New Roman" w:eastAsia="Times New Roman" w:hAnsi="Times New Roman" w:cs="Times New Roman"/>
                <w:sz w:val="18"/>
              </w:rPr>
              <w:t>11</w:t>
            </w:r>
          </w:p>
        </w:tc>
        <w:tc>
          <w:tcPr>
            <w:tcW w:w="720" w:type="pct"/>
            <w:tcBorders>
              <w:bottom w:val="single" w:sz="8" w:space="0" w:color="000000"/>
              <w:right w:val="single" w:sz="8" w:space="0" w:color="000000"/>
            </w:tcBorders>
          </w:tcPr>
          <w:p w14:paraId="5BFCD2C8" w14:textId="77777777" w:rsidR="00935112" w:rsidRPr="009C2A58" w:rsidRDefault="00007B56">
            <w:r w:rsidRPr="009C2A58">
              <w:rPr>
                <w:rFonts w:ascii="Times New Roman" w:eastAsia="Times New Roman" w:hAnsi="Times New Roman" w:cs="Times New Roman"/>
                <w:sz w:val="18"/>
              </w:rPr>
              <w:t xml:space="preserve"> 1.3%</w:t>
            </w:r>
          </w:p>
        </w:tc>
      </w:tr>
      <w:tr w:rsidR="00935112" w14:paraId="4072C61B" w14:textId="77777777" w:rsidTr="00C07EA2">
        <w:trPr>
          <w:trHeight w:val="529"/>
        </w:trPr>
        <w:tc>
          <w:tcPr>
            <w:tcW w:w="1042" w:type="pct"/>
            <w:tcBorders>
              <w:left w:val="single" w:sz="8" w:space="0" w:color="000000"/>
              <w:bottom w:val="single" w:sz="8" w:space="0" w:color="000000"/>
              <w:right w:val="single" w:sz="8" w:space="0" w:color="000000"/>
            </w:tcBorders>
          </w:tcPr>
          <w:p w14:paraId="68362E53" w14:textId="77777777" w:rsidR="00935112" w:rsidRPr="009C2A58" w:rsidRDefault="00007B56">
            <w:pPr>
              <w:rPr>
                <w:b/>
              </w:rPr>
            </w:pPr>
            <w:r w:rsidRPr="009C2A58">
              <w:rPr>
                <w:rFonts w:ascii="Times New Roman" w:eastAsia="Times New Roman" w:hAnsi="Times New Roman" w:cs="Times New Roman"/>
                <w:b/>
                <w:sz w:val="18"/>
              </w:rPr>
              <w:t>Fall 2012</w:t>
            </w:r>
          </w:p>
        </w:tc>
        <w:tc>
          <w:tcPr>
            <w:tcW w:w="1076" w:type="pct"/>
            <w:tcBorders>
              <w:bottom w:val="single" w:sz="8" w:space="0" w:color="000000"/>
              <w:right w:val="single" w:sz="8" w:space="0" w:color="000000"/>
            </w:tcBorders>
          </w:tcPr>
          <w:p w14:paraId="019C22B0" w14:textId="77777777" w:rsidR="00935112" w:rsidRPr="009C2A58" w:rsidRDefault="00007B56">
            <w:pPr>
              <w:rPr>
                <w:rFonts w:ascii="Times New Roman" w:eastAsia="Times New Roman" w:hAnsi="Times New Roman" w:cs="Times New Roman"/>
                <w:sz w:val="18"/>
              </w:rPr>
            </w:pPr>
            <w:r w:rsidRPr="009C2A58">
              <w:rPr>
                <w:rFonts w:ascii="Times New Roman" w:eastAsia="Times New Roman" w:hAnsi="Times New Roman" w:cs="Times New Roman"/>
                <w:sz w:val="18"/>
              </w:rPr>
              <w:t>316</w:t>
            </w:r>
          </w:p>
          <w:p w14:paraId="5DEB6911" w14:textId="77777777" w:rsidR="00381DB1" w:rsidRPr="009C2A58" w:rsidRDefault="00381DB1"/>
        </w:tc>
        <w:tc>
          <w:tcPr>
            <w:tcW w:w="729" w:type="pct"/>
            <w:tcBorders>
              <w:bottom w:val="single" w:sz="8" w:space="0" w:color="000000"/>
              <w:right w:val="single" w:sz="8" w:space="0" w:color="000000"/>
            </w:tcBorders>
          </w:tcPr>
          <w:p w14:paraId="2B2A94AF" w14:textId="77777777" w:rsidR="00935112" w:rsidRPr="009C2A58" w:rsidRDefault="00007B56">
            <w:r w:rsidRPr="009C2A58">
              <w:rPr>
                <w:rFonts w:ascii="Times New Roman" w:eastAsia="Times New Roman" w:hAnsi="Times New Roman" w:cs="Times New Roman"/>
                <w:sz w:val="18"/>
              </w:rPr>
              <w:t>41%</w:t>
            </w:r>
          </w:p>
        </w:tc>
        <w:tc>
          <w:tcPr>
            <w:tcW w:w="1432" w:type="pct"/>
            <w:tcBorders>
              <w:bottom w:val="single" w:sz="8" w:space="0" w:color="000000"/>
              <w:right w:val="single" w:sz="8" w:space="0" w:color="000000"/>
            </w:tcBorders>
          </w:tcPr>
          <w:p w14:paraId="1B96C4E9" w14:textId="77777777" w:rsidR="00935112" w:rsidRPr="009C2A58" w:rsidRDefault="00007B56">
            <w:r w:rsidRPr="009C2A58">
              <w:rPr>
                <w:rFonts w:ascii="Times New Roman" w:eastAsia="Times New Roman" w:hAnsi="Times New Roman" w:cs="Times New Roman"/>
                <w:sz w:val="18"/>
              </w:rPr>
              <w:t>19</w:t>
            </w:r>
          </w:p>
        </w:tc>
        <w:tc>
          <w:tcPr>
            <w:tcW w:w="720" w:type="pct"/>
            <w:tcBorders>
              <w:bottom w:val="single" w:sz="8" w:space="0" w:color="000000"/>
              <w:right w:val="single" w:sz="8" w:space="0" w:color="000000"/>
            </w:tcBorders>
          </w:tcPr>
          <w:p w14:paraId="020CCF21" w14:textId="77777777" w:rsidR="00935112" w:rsidRPr="009C2A58" w:rsidRDefault="00007B56">
            <w:r w:rsidRPr="009C2A58">
              <w:rPr>
                <w:rFonts w:ascii="Times New Roman" w:eastAsia="Times New Roman" w:hAnsi="Times New Roman" w:cs="Times New Roman"/>
                <w:sz w:val="18"/>
              </w:rPr>
              <w:t>6</w:t>
            </w:r>
            <w:r w:rsidR="009C2A58">
              <w:rPr>
                <w:rFonts w:ascii="Times New Roman" w:eastAsia="Times New Roman" w:hAnsi="Times New Roman" w:cs="Times New Roman"/>
                <w:sz w:val="18"/>
              </w:rPr>
              <w:t>.0</w:t>
            </w:r>
            <w:r w:rsidRPr="009C2A58">
              <w:rPr>
                <w:rFonts w:ascii="Times New Roman" w:eastAsia="Times New Roman" w:hAnsi="Times New Roman" w:cs="Times New Roman"/>
                <w:sz w:val="18"/>
              </w:rPr>
              <w:t>%</w:t>
            </w:r>
          </w:p>
        </w:tc>
      </w:tr>
      <w:tr w:rsidR="00935112" w14:paraId="5B4A6648" w14:textId="77777777" w:rsidTr="00C07EA2">
        <w:trPr>
          <w:trHeight w:val="529"/>
        </w:trPr>
        <w:tc>
          <w:tcPr>
            <w:tcW w:w="1042" w:type="pct"/>
            <w:tcBorders>
              <w:left w:val="single" w:sz="8" w:space="0" w:color="000000"/>
              <w:bottom w:val="single" w:sz="8" w:space="0" w:color="000000"/>
              <w:right w:val="single" w:sz="8" w:space="0" w:color="000000"/>
            </w:tcBorders>
          </w:tcPr>
          <w:p w14:paraId="0E26DE98" w14:textId="77777777" w:rsidR="00AF5831" w:rsidRPr="009C2A58" w:rsidRDefault="00007B56">
            <w:pPr>
              <w:rPr>
                <w:rFonts w:ascii="Times New Roman" w:eastAsia="Times New Roman" w:hAnsi="Times New Roman" w:cs="Times New Roman"/>
                <w:b/>
                <w:sz w:val="18"/>
              </w:rPr>
            </w:pPr>
            <w:r w:rsidRPr="009C2A58">
              <w:rPr>
                <w:rFonts w:ascii="Times New Roman" w:eastAsia="Times New Roman" w:hAnsi="Times New Roman" w:cs="Times New Roman"/>
                <w:b/>
                <w:sz w:val="18"/>
              </w:rPr>
              <w:t>Fall 2013</w:t>
            </w:r>
          </w:p>
        </w:tc>
        <w:tc>
          <w:tcPr>
            <w:tcW w:w="1076" w:type="pct"/>
            <w:tcBorders>
              <w:bottom w:val="single" w:sz="8" w:space="0" w:color="000000"/>
              <w:right w:val="single" w:sz="8" w:space="0" w:color="000000"/>
            </w:tcBorders>
          </w:tcPr>
          <w:p w14:paraId="04361D1A" w14:textId="77777777" w:rsidR="00935112" w:rsidRPr="009C2A58" w:rsidRDefault="00007B56">
            <w:pPr>
              <w:rPr>
                <w:rFonts w:ascii="Times New Roman" w:eastAsia="Times New Roman" w:hAnsi="Times New Roman" w:cs="Times New Roman"/>
                <w:sz w:val="18"/>
              </w:rPr>
            </w:pPr>
            <w:r w:rsidRPr="009C2A58">
              <w:rPr>
                <w:rFonts w:ascii="Times New Roman" w:eastAsia="Times New Roman" w:hAnsi="Times New Roman" w:cs="Times New Roman"/>
                <w:sz w:val="18"/>
              </w:rPr>
              <w:t>3</w:t>
            </w:r>
            <w:r w:rsidR="00381DB1" w:rsidRPr="009C2A58">
              <w:rPr>
                <w:rFonts w:ascii="Times New Roman" w:eastAsia="Times New Roman" w:hAnsi="Times New Roman" w:cs="Times New Roman"/>
                <w:sz w:val="18"/>
              </w:rPr>
              <w:t>9</w:t>
            </w:r>
            <w:r w:rsidR="00545802" w:rsidRPr="009C2A58">
              <w:rPr>
                <w:rFonts w:ascii="Times New Roman" w:eastAsia="Times New Roman" w:hAnsi="Times New Roman" w:cs="Times New Roman"/>
                <w:sz w:val="18"/>
              </w:rPr>
              <w:t>9</w:t>
            </w:r>
          </w:p>
          <w:p w14:paraId="2B07248C" w14:textId="77777777" w:rsidR="00381DB1" w:rsidRPr="009C2A58" w:rsidRDefault="00381DB1"/>
        </w:tc>
        <w:tc>
          <w:tcPr>
            <w:tcW w:w="729" w:type="pct"/>
            <w:tcBorders>
              <w:bottom w:val="single" w:sz="8" w:space="0" w:color="000000"/>
              <w:right w:val="single" w:sz="8" w:space="0" w:color="000000"/>
            </w:tcBorders>
          </w:tcPr>
          <w:p w14:paraId="4C11C7E1" w14:textId="77777777" w:rsidR="00935112" w:rsidRPr="009C2A58" w:rsidRDefault="00007B56">
            <w:r w:rsidRPr="009C2A58">
              <w:rPr>
                <w:rFonts w:ascii="Times New Roman" w:eastAsia="Times New Roman" w:hAnsi="Times New Roman" w:cs="Times New Roman"/>
                <w:sz w:val="18"/>
              </w:rPr>
              <w:t>47%</w:t>
            </w:r>
          </w:p>
        </w:tc>
        <w:tc>
          <w:tcPr>
            <w:tcW w:w="1432" w:type="pct"/>
            <w:tcBorders>
              <w:bottom w:val="single" w:sz="8" w:space="0" w:color="000000"/>
              <w:right w:val="single" w:sz="8" w:space="0" w:color="000000"/>
            </w:tcBorders>
          </w:tcPr>
          <w:p w14:paraId="612DE558" w14:textId="77777777" w:rsidR="00935112" w:rsidRPr="009C2A58" w:rsidRDefault="00007B56">
            <w:r w:rsidRPr="009C2A58">
              <w:rPr>
                <w:rFonts w:ascii="Times New Roman" w:eastAsia="Times New Roman" w:hAnsi="Times New Roman" w:cs="Times New Roman"/>
                <w:sz w:val="18"/>
              </w:rPr>
              <w:t>15</w:t>
            </w:r>
          </w:p>
        </w:tc>
        <w:tc>
          <w:tcPr>
            <w:tcW w:w="720" w:type="pct"/>
            <w:tcBorders>
              <w:bottom w:val="single" w:sz="8" w:space="0" w:color="000000"/>
              <w:right w:val="single" w:sz="8" w:space="0" w:color="000000"/>
            </w:tcBorders>
          </w:tcPr>
          <w:p w14:paraId="38C43C4F" w14:textId="77777777" w:rsidR="00935112" w:rsidRPr="009C2A58" w:rsidRDefault="00007B56">
            <w:r w:rsidRPr="009C2A58">
              <w:rPr>
                <w:rFonts w:ascii="Times New Roman" w:eastAsia="Times New Roman" w:hAnsi="Times New Roman" w:cs="Times New Roman"/>
                <w:sz w:val="18"/>
              </w:rPr>
              <w:t>1.8%</w:t>
            </w:r>
          </w:p>
        </w:tc>
      </w:tr>
    </w:tbl>
    <w:p w14:paraId="5042D237" w14:textId="77777777" w:rsidR="00935112" w:rsidRDefault="00935112">
      <w:pPr>
        <w:spacing w:after="200" w:line="240" w:lineRule="auto"/>
      </w:pPr>
    </w:p>
    <w:p w14:paraId="2E875DB3" w14:textId="77777777" w:rsidR="00EA1237" w:rsidRPr="00C07EA2" w:rsidRDefault="00007B56" w:rsidP="00C07EA2">
      <w:pPr>
        <w:spacing w:after="200" w:line="240" w:lineRule="auto"/>
        <w:ind w:firstLine="720"/>
      </w:pPr>
      <w:r>
        <w:rPr>
          <w:rFonts w:ascii="Times New Roman" w:eastAsia="Times New Roman" w:hAnsi="Times New Roman" w:cs="Times New Roman"/>
        </w:rPr>
        <w:lastRenderedPageBreak/>
        <w:t>When comparing year-to-year data, there are mixed results when at-risk indicators such as warning, probation, and dismissal</w:t>
      </w:r>
      <w:r w:rsidR="003A100F">
        <w:rPr>
          <w:rFonts w:ascii="Times New Roman" w:eastAsia="Times New Roman" w:hAnsi="Times New Roman" w:cs="Times New Roman"/>
        </w:rPr>
        <w:t xml:space="preserve"> are examined</w:t>
      </w:r>
      <w:r>
        <w:rPr>
          <w:rFonts w:ascii="Times New Roman" w:eastAsia="Times New Roman" w:hAnsi="Times New Roman" w:cs="Times New Roman"/>
        </w:rPr>
        <w:t>. Overall, however, pre and post Gateway implementation movement remains in the positive direction.  Compared to the fall of 2011, the percentage of students on</w:t>
      </w:r>
      <w:r w:rsidR="00381DB1">
        <w:rPr>
          <w:rFonts w:ascii="Times New Roman" w:eastAsia="Times New Roman" w:hAnsi="Times New Roman" w:cs="Times New Roman"/>
        </w:rPr>
        <w:t xml:space="preserve"> probation decreased by 1.1 % in</w:t>
      </w:r>
      <w:r>
        <w:rPr>
          <w:rFonts w:ascii="Times New Roman" w:eastAsia="Times New Roman" w:hAnsi="Times New Roman" w:cs="Times New Roman"/>
        </w:rPr>
        <w:t xml:space="preserve"> the fall of 2013. Similarly, when making spring to spring comparisons, the percentage of students on probatio</w:t>
      </w:r>
      <w:r w:rsidR="00010D12">
        <w:rPr>
          <w:rFonts w:ascii="Times New Roman" w:eastAsia="Times New Roman" w:hAnsi="Times New Roman" w:cs="Times New Roman"/>
        </w:rPr>
        <w:t xml:space="preserve">n decreased (-1.8%), and those </w:t>
      </w:r>
      <w:r>
        <w:rPr>
          <w:rFonts w:ascii="Times New Roman" w:eastAsia="Times New Roman" w:hAnsi="Times New Roman" w:cs="Times New Roman"/>
        </w:rPr>
        <w:t>on warning decreased</w:t>
      </w:r>
      <w:r w:rsidR="00381DB1">
        <w:rPr>
          <w:rFonts w:ascii="Times New Roman" w:eastAsia="Times New Roman" w:hAnsi="Times New Roman" w:cs="Times New Roman"/>
        </w:rPr>
        <w:t xml:space="preserve"> (-1.5%)</w:t>
      </w:r>
      <w:r>
        <w:rPr>
          <w:rFonts w:ascii="Times New Roman" w:eastAsia="Times New Roman" w:hAnsi="Times New Roman" w:cs="Times New Roman"/>
        </w:rPr>
        <w:t>.</w:t>
      </w:r>
    </w:p>
    <w:p w14:paraId="1A226E14" w14:textId="77777777" w:rsidR="00935112" w:rsidRDefault="00381DB1" w:rsidP="009C2A58">
      <w:r>
        <w:rPr>
          <w:rFonts w:ascii="Times New Roman" w:eastAsia="Times New Roman" w:hAnsi="Times New Roman" w:cs="Times New Roman"/>
          <w:sz w:val="18"/>
        </w:rPr>
        <w:t>Table 7</w:t>
      </w:r>
      <w:r w:rsidR="00007B56">
        <w:rPr>
          <w:rFonts w:ascii="Times New Roman" w:eastAsia="Times New Roman" w:hAnsi="Times New Roman" w:cs="Times New Roman"/>
          <w:sz w:val="18"/>
        </w:rPr>
        <w:t xml:space="preserve">: </w:t>
      </w:r>
      <w:r w:rsidR="00EA1237" w:rsidRPr="00EA1237">
        <w:rPr>
          <w:rFonts w:ascii="Times New Roman" w:eastAsia="Times New Roman" w:hAnsi="Times New Roman" w:cs="Times New Roman"/>
          <w:i/>
          <w:sz w:val="18"/>
        </w:rPr>
        <w:t xml:space="preserve">First-Year (FY) </w:t>
      </w:r>
      <w:r w:rsidR="00007B56" w:rsidRPr="00EA1237">
        <w:rPr>
          <w:rFonts w:ascii="Times New Roman" w:eastAsia="Times New Roman" w:hAnsi="Times New Roman" w:cs="Times New Roman"/>
          <w:i/>
          <w:sz w:val="18"/>
        </w:rPr>
        <w:t>Probation and Dismissal</w:t>
      </w:r>
      <w:r w:rsidR="00EA1237">
        <w:rPr>
          <w:rFonts w:ascii="Times New Roman" w:eastAsia="Times New Roman" w:hAnsi="Times New Roman" w:cs="Times New Roman"/>
          <w:i/>
          <w:sz w:val="18"/>
        </w:rPr>
        <w:t xml:space="preserve"> Rates</w:t>
      </w:r>
    </w:p>
    <w:tbl>
      <w:tblPr>
        <w:tblStyle w:val="a6"/>
        <w:tblW w:w="9018"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648"/>
        <w:gridCol w:w="1080"/>
        <w:gridCol w:w="720"/>
        <w:gridCol w:w="270"/>
        <w:gridCol w:w="810"/>
        <w:gridCol w:w="1080"/>
        <w:gridCol w:w="810"/>
        <w:gridCol w:w="990"/>
        <w:gridCol w:w="810"/>
        <w:gridCol w:w="990"/>
        <w:gridCol w:w="810"/>
      </w:tblGrid>
      <w:tr w:rsidR="00545802" w14:paraId="1305F7A0" w14:textId="77777777" w:rsidTr="00545802">
        <w:tc>
          <w:tcPr>
            <w:tcW w:w="648" w:type="dxa"/>
            <w:tcBorders>
              <w:top w:val="single" w:sz="8" w:space="0" w:color="000000"/>
              <w:left w:val="single" w:sz="8" w:space="0" w:color="000000"/>
              <w:bottom w:val="single" w:sz="8" w:space="0" w:color="000000"/>
              <w:right w:val="single" w:sz="8" w:space="0" w:color="000000"/>
            </w:tcBorders>
            <w:shd w:val="clear" w:color="auto" w:fill="A6A6A6"/>
          </w:tcPr>
          <w:p w14:paraId="35E5A4C5" w14:textId="77777777" w:rsidR="00545802" w:rsidRPr="00C07EA2" w:rsidRDefault="00545802" w:rsidP="00545802">
            <w:pPr>
              <w:jc w:val="center"/>
            </w:pPr>
            <w:r w:rsidRPr="00C07EA2">
              <w:rPr>
                <w:rFonts w:ascii="Times New Roman" w:eastAsia="Times New Roman" w:hAnsi="Times New Roman" w:cs="Times New Roman"/>
                <w:sz w:val="18"/>
                <w:shd w:val="clear" w:color="auto" w:fill="A6A6A6"/>
              </w:rPr>
              <w:t>Fall</w:t>
            </w:r>
          </w:p>
        </w:tc>
        <w:tc>
          <w:tcPr>
            <w:tcW w:w="1080" w:type="dxa"/>
            <w:tcBorders>
              <w:top w:val="single" w:sz="8" w:space="0" w:color="000000"/>
              <w:bottom w:val="single" w:sz="8" w:space="0" w:color="000000"/>
              <w:right w:val="single" w:sz="8" w:space="0" w:color="000000"/>
            </w:tcBorders>
            <w:shd w:val="clear" w:color="auto" w:fill="A6A6A6"/>
          </w:tcPr>
          <w:p w14:paraId="45EEF98D" w14:textId="77777777" w:rsidR="00545802" w:rsidRPr="00C07EA2" w:rsidRDefault="00545802" w:rsidP="00545802">
            <w:pPr>
              <w:jc w:val="center"/>
            </w:pPr>
            <w:r w:rsidRPr="00C07EA2">
              <w:rPr>
                <w:rFonts w:ascii="Times New Roman" w:eastAsia="Times New Roman" w:hAnsi="Times New Roman" w:cs="Times New Roman"/>
                <w:sz w:val="18"/>
                <w:shd w:val="clear" w:color="auto" w:fill="A6A6A6"/>
              </w:rPr>
              <w:t>Probation</w:t>
            </w:r>
          </w:p>
        </w:tc>
        <w:tc>
          <w:tcPr>
            <w:tcW w:w="720" w:type="dxa"/>
            <w:tcBorders>
              <w:top w:val="single" w:sz="8" w:space="0" w:color="000000"/>
              <w:bottom w:val="single" w:sz="8" w:space="0" w:color="000000"/>
              <w:right w:val="single" w:sz="8" w:space="0" w:color="000000"/>
            </w:tcBorders>
            <w:shd w:val="clear" w:color="auto" w:fill="A6A6A6"/>
          </w:tcPr>
          <w:p w14:paraId="7BE863D8" w14:textId="77777777" w:rsidR="00545802" w:rsidRPr="00C07EA2" w:rsidRDefault="00545802" w:rsidP="00545802">
            <w:pPr>
              <w:jc w:val="center"/>
            </w:pPr>
            <w:r w:rsidRPr="00C07EA2">
              <w:rPr>
                <w:rFonts w:ascii="Times New Roman" w:eastAsia="Times New Roman" w:hAnsi="Times New Roman" w:cs="Times New Roman"/>
                <w:sz w:val="18"/>
                <w:shd w:val="clear" w:color="auto" w:fill="A6A6A6"/>
              </w:rPr>
              <w:t>FY %</w:t>
            </w:r>
          </w:p>
        </w:tc>
        <w:tc>
          <w:tcPr>
            <w:tcW w:w="270" w:type="dxa"/>
            <w:tcBorders>
              <w:top w:val="single" w:sz="8" w:space="0" w:color="000000"/>
              <w:bottom w:val="single" w:sz="8" w:space="0" w:color="000000"/>
            </w:tcBorders>
            <w:shd w:val="clear" w:color="auto" w:fill="000000" w:themeFill="text1"/>
          </w:tcPr>
          <w:p w14:paraId="1D4B5C91" w14:textId="77777777" w:rsidR="00545802" w:rsidRPr="00C07EA2" w:rsidRDefault="00545802" w:rsidP="00545802">
            <w:pPr>
              <w:jc w:val="center"/>
              <w:rPr>
                <w:rFonts w:ascii="Times New Roman" w:eastAsia="Times New Roman" w:hAnsi="Times New Roman" w:cs="Times New Roman"/>
                <w:sz w:val="18"/>
                <w:shd w:val="clear" w:color="auto" w:fill="A6A6A6"/>
              </w:rPr>
            </w:pPr>
          </w:p>
        </w:tc>
        <w:tc>
          <w:tcPr>
            <w:tcW w:w="810" w:type="dxa"/>
            <w:tcBorders>
              <w:top w:val="single" w:sz="8" w:space="0" w:color="000000"/>
              <w:bottom w:val="single" w:sz="8" w:space="0" w:color="000000"/>
              <w:right w:val="single" w:sz="8" w:space="0" w:color="000000"/>
            </w:tcBorders>
            <w:shd w:val="clear" w:color="auto" w:fill="A6A6A6"/>
          </w:tcPr>
          <w:p w14:paraId="6F2AED55" w14:textId="77777777" w:rsidR="00545802" w:rsidRPr="00C07EA2" w:rsidRDefault="00545802" w:rsidP="00545802">
            <w:pPr>
              <w:jc w:val="center"/>
            </w:pPr>
            <w:r w:rsidRPr="00C07EA2">
              <w:rPr>
                <w:rFonts w:ascii="Times New Roman" w:eastAsia="Times New Roman" w:hAnsi="Times New Roman" w:cs="Times New Roman"/>
                <w:sz w:val="18"/>
                <w:shd w:val="clear" w:color="auto" w:fill="A6A6A6"/>
              </w:rPr>
              <w:t>Spring</w:t>
            </w:r>
          </w:p>
        </w:tc>
        <w:tc>
          <w:tcPr>
            <w:tcW w:w="1080" w:type="dxa"/>
            <w:tcBorders>
              <w:top w:val="single" w:sz="8" w:space="0" w:color="000000"/>
              <w:bottom w:val="single" w:sz="8" w:space="0" w:color="000000"/>
              <w:right w:val="single" w:sz="8" w:space="0" w:color="000000"/>
            </w:tcBorders>
            <w:shd w:val="clear" w:color="auto" w:fill="A6A6A6"/>
          </w:tcPr>
          <w:p w14:paraId="5CDFBABB" w14:textId="77777777" w:rsidR="00545802" w:rsidRPr="00C07EA2" w:rsidRDefault="00545802" w:rsidP="00545802">
            <w:pPr>
              <w:jc w:val="center"/>
            </w:pPr>
            <w:r w:rsidRPr="00C07EA2">
              <w:rPr>
                <w:rFonts w:ascii="Times New Roman" w:eastAsia="Times New Roman" w:hAnsi="Times New Roman" w:cs="Times New Roman"/>
                <w:sz w:val="18"/>
                <w:shd w:val="clear" w:color="auto" w:fill="A6A6A6"/>
              </w:rPr>
              <w:t>Probation</w:t>
            </w:r>
          </w:p>
        </w:tc>
        <w:tc>
          <w:tcPr>
            <w:tcW w:w="810" w:type="dxa"/>
            <w:tcBorders>
              <w:top w:val="single" w:sz="8" w:space="0" w:color="000000"/>
              <w:bottom w:val="single" w:sz="8" w:space="0" w:color="000000"/>
              <w:right w:val="single" w:sz="8" w:space="0" w:color="000000"/>
            </w:tcBorders>
            <w:shd w:val="clear" w:color="auto" w:fill="A6A6A6"/>
          </w:tcPr>
          <w:p w14:paraId="0E0B84A8" w14:textId="77777777" w:rsidR="00545802" w:rsidRPr="00C07EA2" w:rsidRDefault="00545802" w:rsidP="00545802">
            <w:pPr>
              <w:jc w:val="center"/>
            </w:pPr>
            <w:r w:rsidRPr="00C07EA2">
              <w:rPr>
                <w:rFonts w:ascii="Times New Roman" w:eastAsia="Times New Roman" w:hAnsi="Times New Roman" w:cs="Times New Roman"/>
                <w:sz w:val="18"/>
                <w:shd w:val="clear" w:color="auto" w:fill="A6A6A6"/>
              </w:rPr>
              <w:t>FY %</w:t>
            </w:r>
          </w:p>
        </w:tc>
        <w:tc>
          <w:tcPr>
            <w:tcW w:w="990" w:type="dxa"/>
            <w:tcBorders>
              <w:top w:val="single" w:sz="8" w:space="0" w:color="000000"/>
              <w:bottom w:val="single" w:sz="8" w:space="0" w:color="000000"/>
              <w:right w:val="single" w:sz="8" w:space="0" w:color="000000"/>
            </w:tcBorders>
            <w:shd w:val="clear" w:color="auto" w:fill="A6A6A6"/>
          </w:tcPr>
          <w:p w14:paraId="6AECEA02" w14:textId="77777777" w:rsidR="00545802" w:rsidRPr="00C07EA2" w:rsidRDefault="00545802" w:rsidP="00545802">
            <w:pPr>
              <w:jc w:val="center"/>
            </w:pPr>
            <w:r w:rsidRPr="00C07EA2">
              <w:rPr>
                <w:rFonts w:ascii="Times New Roman" w:eastAsia="Times New Roman" w:hAnsi="Times New Roman" w:cs="Times New Roman"/>
                <w:sz w:val="18"/>
                <w:shd w:val="clear" w:color="auto" w:fill="A6A6A6"/>
              </w:rPr>
              <w:t>Warning</w:t>
            </w:r>
          </w:p>
        </w:tc>
        <w:tc>
          <w:tcPr>
            <w:tcW w:w="810" w:type="dxa"/>
            <w:tcBorders>
              <w:top w:val="single" w:sz="8" w:space="0" w:color="000000"/>
              <w:bottom w:val="single" w:sz="8" w:space="0" w:color="000000"/>
              <w:right w:val="single" w:sz="8" w:space="0" w:color="000000"/>
            </w:tcBorders>
            <w:shd w:val="clear" w:color="auto" w:fill="A6A6A6"/>
          </w:tcPr>
          <w:p w14:paraId="1DDA4BC9" w14:textId="77777777" w:rsidR="00545802" w:rsidRPr="00C07EA2" w:rsidRDefault="00545802" w:rsidP="00545802">
            <w:pPr>
              <w:jc w:val="center"/>
            </w:pPr>
            <w:r w:rsidRPr="00C07EA2">
              <w:rPr>
                <w:rFonts w:ascii="Times New Roman" w:eastAsia="Times New Roman" w:hAnsi="Times New Roman" w:cs="Times New Roman"/>
                <w:sz w:val="18"/>
                <w:shd w:val="clear" w:color="auto" w:fill="A6A6A6"/>
              </w:rPr>
              <w:t>FY %</w:t>
            </w:r>
          </w:p>
        </w:tc>
        <w:tc>
          <w:tcPr>
            <w:tcW w:w="990" w:type="dxa"/>
            <w:tcBorders>
              <w:top w:val="single" w:sz="8" w:space="0" w:color="000000"/>
              <w:bottom w:val="single" w:sz="8" w:space="0" w:color="000000"/>
              <w:right w:val="single" w:sz="8" w:space="0" w:color="000000"/>
            </w:tcBorders>
            <w:shd w:val="clear" w:color="auto" w:fill="A6A6A6"/>
          </w:tcPr>
          <w:p w14:paraId="5A9A17A3" w14:textId="77777777" w:rsidR="00545802" w:rsidRPr="00C07EA2" w:rsidRDefault="00545802" w:rsidP="00545802">
            <w:pPr>
              <w:jc w:val="center"/>
            </w:pPr>
            <w:r w:rsidRPr="00C07EA2">
              <w:rPr>
                <w:rFonts w:ascii="Times New Roman" w:eastAsia="Times New Roman" w:hAnsi="Times New Roman" w:cs="Times New Roman"/>
                <w:sz w:val="18"/>
                <w:shd w:val="clear" w:color="auto" w:fill="A6A6A6"/>
              </w:rPr>
              <w:t>Dismissal</w:t>
            </w:r>
          </w:p>
        </w:tc>
        <w:tc>
          <w:tcPr>
            <w:tcW w:w="810" w:type="dxa"/>
            <w:tcBorders>
              <w:top w:val="single" w:sz="8" w:space="0" w:color="000000"/>
              <w:bottom w:val="single" w:sz="8" w:space="0" w:color="000000"/>
              <w:right w:val="single" w:sz="8" w:space="0" w:color="000000"/>
            </w:tcBorders>
            <w:shd w:val="clear" w:color="auto" w:fill="A6A6A6"/>
          </w:tcPr>
          <w:p w14:paraId="6489BC34" w14:textId="77777777" w:rsidR="00545802" w:rsidRPr="00C07EA2" w:rsidRDefault="00545802" w:rsidP="00545802">
            <w:pPr>
              <w:jc w:val="center"/>
            </w:pPr>
            <w:r w:rsidRPr="00C07EA2">
              <w:rPr>
                <w:rFonts w:ascii="Times New Roman" w:eastAsia="Times New Roman" w:hAnsi="Times New Roman" w:cs="Times New Roman"/>
                <w:sz w:val="18"/>
                <w:shd w:val="clear" w:color="auto" w:fill="A6A6A6"/>
              </w:rPr>
              <w:t>FY %</w:t>
            </w:r>
          </w:p>
        </w:tc>
      </w:tr>
      <w:tr w:rsidR="00545802" w14:paraId="1C352C50" w14:textId="77777777" w:rsidTr="00545802">
        <w:tc>
          <w:tcPr>
            <w:tcW w:w="648" w:type="dxa"/>
            <w:tcBorders>
              <w:left w:val="single" w:sz="8" w:space="0" w:color="000000"/>
              <w:bottom w:val="single" w:sz="8" w:space="0" w:color="000000"/>
              <w:right w:val="single" w:sz="8" w:space="0" w:color="000000"/>
            </w:tcBorders>
            <w:shd w:val="clear" w:color="auto" w:fill="F2F2F2"/>
          </w:tcPr>
          <w:p w14:paraId="66F97BB5" w14:textId="77777777" w:rsidR="00545802" w:rsidRPr="00C07EA2" w:rsidRDefault="00545802" w:rsidP="00545802">
            <w:pPr>
              <w:jc w:val="center"/>
            </w:pPr>
            <w:r w:rsidRPr="00C07EA2">
              <w:rPr>
                <w:rFonts w:ascii="Times New Roman" w:eastAsia="Times New Roman" w:hAnsi="Times New Roman" w:cs="Times New Roman"/>
                <w:sz w:val="18"/>
                <w:shd w:val="clear" w:color="auto" w:fill="F2F2F2"/>
              </w:rPr>
              <w:t>2011</w:t>
            </w:r>
          </w:p>
        </w:tc>
        <w:tc>
          <w:tcPr>
            <w:tcW w:w="1080" w:type="dxa"/>
            <w:tcBorders>
              <w:bottom w:val="single" w:sz="8" w:space="0" w:color="000000"/>
              <w:right w:val="single" w:sz="8" w:space="0" w:color="000000"/>
            </w:tcBorders>
            <w:shd w:val="clear" w:color="auto" w:fill="F2F2F2"/>
          </w:tcPr>
          <w:p w14:paraId="0C0BACA4" w14:textId="77777777" w:rsidR="00545802" w:rsidRPr="00C07EA2" w:rsidRDefault="00545802" w:rsidP="00545802">
            <w:pPr>
              <w:jc w:val="center"/>
            </w:pPr>
            <w:r w:rsidRPr="00C07EA2">
              <w:rPr>
                <w:rFonts w:ascii="Times New Roman" w:eastAsia="Times New Roman" w:hAnsi="Times New Roman" w:cs="Times New Roman"/>
                <w:sz w:val="18"/>
                <w:shd w:val="clear" w:color="auto" w:fill="F2F2F2"/>
              </w:rPr>
              <w:t>51</w:t>
            </w:r>
          </w:p>
        </w:tc>
        <w:tc>
          <w:tcPr>
            <w:tcW w:w="720" w:type="dxa"/>
            <w:tcBorders>
              <w:bottom w:val="single" w:sz="8" w:space="0" w:color="000000"/>
              <w:right w:val="single" w:sz="8" w:space="0" w:color="000000"/>
            </w:tcBorders>
            <w:shd w:val="clear" w:color="auto" w:fill="F2F2F2"/>
          </w:tcPr>
          <w:p w14:paraId="36EAD9E8" w14:textId="77777777" w:rsidR="00545802" w:rsidRPr="00C07EA2" w:rsidRDefault="00545802" w:rsidP="00545802">
            <w:pPr>
              <w:jc w:val="center"/>
            </w:pPr>
            <w:r w:rsidRPr="00C07EA2">
              <w:rPr>
                <w:rFonts w:ascii="Times New Roman" w:eastAsia="Times New Roman" w:hAnsi="Times New Roman" w:cs="Times New Roman"/>
                <w:sz w:val="18"/>
                <w:shd w:val="clear" w:color="auto" w:fill="F2F2F2"/>
              </w:rPr>
              <w:t>6.2%</w:t>
            </w:r>
          </w:p>
        </w:tc>
        <w:tc>
          <w:tcPr>
            <w:tcW w:w="270" w:type="dxa"/>
            <w:tcBorders>
              <w:bottom w:val="single" w:sz="8" w:space="0" w:color="000000"/>
            </w:tcBorders>
            <w:shd w:val="clear" w:color="auto" w:fill="000000" w:themeFill="text1"/>
          </w:tcPr>
          <w:p w14:paraId="6AB67A50" w14:textId="77777777" w:rsidR="00545802" w:rsidRPr="00C07EA2" w:rsidRDefault="00545802" w:rsidP="00545802">
            <w:pPr>
              <w:jc w:val="center"/>
              <w:rPr>
                <w:rFonts w:ascii="Times New Roman" w:eastAsia="Times New Roman" w:hAnsi="Times New Roman" w:cs="Times New Roman"/>
                <w:sz w:val="18"/>
                <w:highlight w:val="white"/>
              </w:rPr>
            </w:pPr>
          </w:p>
        </w:tc>
        <w:tc>
          <w:tcPr>
            <w:tcW w:w="810" w:type="dxa"/>
            <w:tcBorders>
              <w:bottom w:val="single" w:sz="8" w:space="0" w:color="000000"/>
              <w:right w:val="single" w:sz="8" w:space="0" w:color="000000"/>
            </w:tcBorders>
            <w:shd w:val="clear" w:color="auto" w:fill="FFFFFF"/>
          </w:tcPr>
          <w:p w14:paraId="757F3184" w14:textId="77777777" w:rsidR="00545802" w:rsidRPr="00C07EA2" w:rsidRDefault="00545802" w:rsidP="00545802">
            <w:pPr>
              <w:jc w:val="center"/>
            </w:pPr>
            <w:r w:rsidRPr="00C07EA2">
              <w:rPr>
                <w:rFonts w:ascii="Times New Roman" w:eastAsia="Times New Roman" w:hAnsi="Times New Roman" w:cs="Times New Roman"/>
                <w:sz w:val="18"/>
                <w:highlight w:val="white"/>
              </w:rPr>
              <w:t>2012</w:t>
            </w:r>
          </w:p>
        </w:tc>
        <w:tc>
          <w:tcPr>
            <w:tcW w:w="1080" w:type="dxa"/>
            <w:tcBorders>
              <w:bottom w:val="single" w:sz="8" w:space="0" w:color="000000"/>
              <w:right w:val="single" w:sz="8" w:space="0" w:color="000000"/>
            </w:tcBorders>
          </w:tcPr>
          <w:p w14:paraId="2B9B88B8" w14:textId="77777777" w:rsidR="00545802" w:rsidRPr="00C07EA2" w:rsidRDefault="00545802" w:rsidP="00545802">
            <w:pPr>
              <w:jc w:val="center"/>
            </w:pPr>
            <w:r w:rsidRPr="00C07EA2">
              <w:rPr>
                <w:rFonts w:ascii="Times New Roman" w:eastAsia="Times New Roman" w:hAnsi="Times New Roman" w:cs="Times New Roman"/>
                <w:sz w:val="18"/>
              </w:rPr>
              <w:t>31</w:t>
            </w:r>
          </w:p>
        </w:tc>
        <w:tc>
          <w:tcPr>
            <w:tcW w:w="810" w:type="dxa"/>
            <w:tcBorders>
              <w:bottom w:val="single" w:sz="8" w:space="0" w:color="000000"/>
              <w:right w:val="single" w:sz="8" w:space="0" w:color="000000"/>
            </w:tcBorders>
          </w:tcPr>
          <w:p w14:paraId="08D8C6C0" w14:textId="77777777" w:rsidR="00545802" w:rsidRPr="00C07EA2" w:rsidRDefault="00545802" w:rsidP="00545802">
            <w:pPr>
              <w:jc w:val="center"/>
            </w:pPr>
            <w:r w:rsidRPr="00C07EA2">
              <w:rPr>
                <w:rFonts w:ascii="Times New Roman" w:eastAsia="Times New Roman" w:hAnsi="Times New Roman" w:cs="Times New Roman"/>
                <w:sz w:val="18"/>
              </w:rPr>
              <w:t>3.8%</w:t>
            </w:r>
          </w:p>
        </w:tc>
        <w:tc>
          <w:tcPr>
            <w:tcW w:w="990" w:type="dxa"/>
            <w:tcBorders>
              <w:bottom w:val="single" w:sz="8" w:space="0" w:color="000000"/>
              <w:right w:val="single" w:sz="8" w:space="0" w:color="000000"/>
            </w:tcBorders>
          </w:tcPr>
          <w:p w14:paraId="7F4D674C" w14:textId="77777777" w:rsidR="00545802" w:rsidRPr="00C07EA2" w:rsidRDefault="00545802" w:rsidP="00545802">
            <w:pPr>
              <w:jc w:val="center"/>
            </w:pPr>
            <w:r w:rsidRPr="00C07EA2">
              <w:rPr>
                <w:rFonts w:ascii="Times New Roman" w:eastAsia="Times New Roman" w:hAnsi="Times New Roman" w:cs="Times New Roman"/>
                <w:sz w:val="18"/>
              </w:rPr>
              <w:t>24</w:t>
            </w:r>
          </w:p>
        </w:tc>
        <w:tc>
          <w:tcPr>
            <w:tcW w:w="810" w:type="dxa"/>
            <w:tcBorders>
              <w:bottom w:val="single" w:sz="8" w:space="0" w:color="000000"/>
              <w:right w:val="single" w:sz="8" w:space="0" w:color="000000"/>
            </w:tcBorders>
          </w:tcPr>
          <w:p w14:paraId="5780CD9D" w14:textId="77777777" w:rsidR="00545802" w:rsidRPr="00C07EA2" w:rsidRDefault="00545802" w:rsidP="00545802">
            <w:pPr>
              <w:jc w:val="center"/>
            </w:pPr>
            <w:r w:rsidRPr="00C07EA2">
              <w:rPr>
                <w:rFonts w:ascii="Times New Roman" w:eastAsia="Times New Roman" w:hAnsi="Times New Roman" w:cs="Times New Roman"/>
                <w:sz w:val="18"/>
              </w:rPr>
              <w:t>2.9 %</w:t>
            </w:r>
          </w:p>
        </w:tc>
        <w:tc>
          <w:tcPr>
            <w:tcW w:w="990" w:type="dxa"/>
            <w:tcBorders>
              <w:bottom w:val="single" w:sz="8" w:space="0" w:color="000000"/>
              <w:right w:val="single" w:sz="8" w:space="0" w:color="000000"/>
            </w:tcBorders>
          </w:tcPr>
          <w:p w14:paraId="035CD562" w14:textId="77777777" w:rsidR="00545802" w:rsidRPr="00C07EA2" w:rsidRDefault="00545802" w:rsidP="00545802">
            <w:pPr>
              <w:jc w:val="center"/>
            </w:pPr>
            <w:r w:rsidRPr="00C07EA2">
              <w:rPr>
                <w:rFonts w:ascii="Times New Roman" w:eastAsia="Times New Roman" w:hAnsi="Times New Roman" w:cs="Times New Roman"/>
                <w:sz w:val="18"/>
              </w:rPr>
              <w:t>12</w:t>
            </w:r>
          </w:p>
        </w:tc>
        <w:tc>
          <w:tcPr>
            <w:tcW w:w="810" w:type="dxa"/>
            <w:tcBorders>
              <w:bottom w:val="single" w:sz="8" w:space="0" w:color="000000"/>
              <w:right w:val="single" w:sz="8" w:space="0" w:color="000000"/>
            </w:tcBorders>
          </w:tcPr>
          <w:p w14:paraId="1B72BFCF" w14:textId="77777777" w:rsidR="00545802" w:rsidRPr="00C07EA2" w:rsidRDefault="00545802" w:rsidP="00545802">
            <w:pPr>
              <w:jc w:val="center"/>
            </w:pPr>
            <w:r w:rsidRPr="00C07EA2">
              <w:rPr>
                <w:rFonts w:ascii="Times New Roman" w:eastAsia="Times New Roman" w:hAnsi="Times New Roman" w:cs="Times New Roman"/>
                <w:sz w:val="18"/>
              </w:rPr>
              <w:t>1.4%</w:t>
            </w:r>
          </w:p>
        </w:tc>
      </w:tr>
      <w:tr w:rsidR="00545802" w14:paraId="76EEB254" w14:textId="77777777" w:rsidTr="00545802">
        <w:tc>
          <w:tcPr>
            <w:tcW w:w="648" w:type="dxa"/>
            <w:tcBorders>
              <w:left w:val="single" w:sz="8" w:space="0" w:color="000000"/>
              <w:bottom w:val="single" w:sz="8" w:space="0" w:color="000000"/>
              <w:right w:val="single" w:sz="8" w:space="0" w:color="000000"/>
            </w:tcBorders>
            <w:shd w:val="clear" w:color="auto" w:fill="F2F2F2"/>
          </w:tcPr>
          <w:p w14:paraId="3EF1B0CF" w14:textId="77777777" w:rsidR="00545802" w:rsidRPr="00C07EA2" w:rsidRDefault="00545802" w:rsidP="00545802">
            <w:pPr>
              <w:jc w:val="center"/>
            </w:pPr>
            <w:r w:rsidRPr="00C07EA2">
              <w:rPr>
                <w:rFonts w:ascii="Times New Roman" w:eastAsia="Times New Roman" w:hAnsi="Times New Roman" w:cs="Times New Roman"/>
                <w:sz w:val="18"/>
                <w:shd w:val="clear" w:color="auto" w:fill="F2F2F2"/>
              </w:rPr>
              <w:t>2012</w:t>
            </w:r>
          </w:p>
        </w:tc>
        <w:tc>
          <w:tcPr>
            <w:tcW w:w="1080" w:type="dxa"/>
            <w:tcBorders>
              <w:bottom w:val="single" w:sz="8" w:space="0" w:color="000000"/>
              <w:right w:val="single" w:sz="8" w:space="0" w:color="000000"/>
            </w:tcBorders>
            <w:shd w:val="clear" w:color="auto" w:fill="F2F2F2"/>
          </w:tcPr>
          <w:p w14:paraId="5918D46F" w14:textId="77777777" w:rsidR="00545802" w:rsidRPr="00C07EA2" w:rsidRDefault="00545802" w:rsidP="00545802">
            <w:pPr>
              <w:jc w:val="center"/>
            </w:pPr>
            <w:r w:rsidRPr="00C07EA2">
              <w:rPr>
                <w:rFonts w:ascii="Times New Roman" w:eastAsia="Times New Roman" w:hAnsi="Times New Roman" w:cs="Times New Roman"/>
                <w:sz w:val="18"/>
                <w:shd w:val="clear" w:color="auto" w:fill="F2F2F2"/>
              </w:rPr>
              <w:t>37</w:t>
            </w:r>
          </w:p>
        </w:tc>
        <w:tc>
          <w:tcPr>
            <w:tcW w:w="720" w:type="dxa"/>
            <w:tcBorders>
              <w:bottom w:val="single" w:sz="8" w:space="0" w:color="000000"/>
              <w:right w:val="single" w:sz="8" w:space="0" w:color="000000"/>
            </w:tcBorders>
            <w:shd w:val="clear" w:color="auto" w:fill="F2F2F2"/>
          </w:tcPr>
          <w:p w14:paraId="289A7AFF" w14:textId="77777777" w:rsidR="00545802" w:rsidRPr="00C07EA2" w:rsidRDefault="00545802" w:rsidP="00545802">
            <w:pPr>
              <w:jc w:val="center"/>
            </w:pPr>
            <w:r w:rsidRPr="00C07EA2">
              <w:rPr>
                <w:rFonts w:ascii="Times New Roman" w:eastAsia="Times New Roman" w:hAnsi="Times New Roman" w:cs="Times New Roman"/>
                <w:sz w:val="18"/>
                <w:shd w:val="clear" w:color="auto" w:fill="F2F2F2"/>
              </w:rPr>
              <w:t>4.7%</w:t>
            </w:r>
          </w:p>
        </w:tc>
        <w:tc>
          <w:tcPr>
            <w:tcW w:w="270" w:type="dxa"/>
            <w:tcBorders>
              <w:bottom w:val="single" w:sz="8" w:space="0" w:color="000000"/>
            </w:tcBorders>
            <w:shd w:val="clear" w:color="auto" w:fill="000000" w:themeFill="text1"/>
          </w:tcPr>
          <w:p w14:paraId="496D45DA" w14:textId="77777777" w:rsidR="00545802" w:rsidRPr="00C07EA2" w:rsidRDefault="00545802" w:rsidP="00545802">
            <w:pPr>
              <w:jc w:val="center"/>
              <w:rPr>
                <w:rFonts w:ascii="Times New Roman" w:eastAsia="Times New Roman" w:hAnsi="Times New Roman" w:cs="Times New Roman"/>
                <w:sz w:val="18"/>
                <w:highlight w:val="white"/>
              </w:rPr>
            </w:pPr>
          </w:p>
        </w:tc>
        <w:tc>
          <w:tcPr>
            <w:tcW w:w="810" w:type="dxa"/>
            <w:tcBorders>
              <w:bottom w:val="single" w:sz="8" w:space="0" w:color="000000"/>
              <w:right w:val="single" w:sz="8" w:space="0" w:color="000000"/>
            </w:tcBorders>
            <w:shd w:val="clear" w:color="auto" w:fill="FFFFFF"/>
          </w:tcPr>
          <w:p w14:paraId="001DA566" w14:textId="77777777" w:rsidR="00545802" w:rsidRPr="00C07EA2" w:rsidRDefault="00545802" w:rsidP="00545802">
            <w:pPr>
              <w:jc w:val="center"/>
            </w:pPr>
            <w:r w:rsidRPr="00C07EA2">
              <w:rPr>
                <w:rFonts w:ascii="Times New Roman" w:eastAsia="Times New Roman" w:hAnsi="Times New Roman" w:cs="Times New Roman"/>
                <w:sz w:val="18"/>
                <w:highlight w:val="white"/>
              </w:rPr>
              <w:t>2013</w:t>
            </w:r>
          </w:p>
        </w:tc>
        <w:tc>
          <w:tcPr>
            <w:tcW w:w="1080" w:type="dxa"/>
            <w:tcBorders>
              <w:bottom w:val="single" w:sz="8" w:space="0" w:color="000000"/>
              <w:right w:val="single" w:sz="8" w:space="0" w:color="000000"/>
            </w:tcBorders>
          </w:tcPr>
          <w:p w14:paraId="0C5EEE6F" w14:textId="77777777" w:rsidR="00545802" w:rsidRPr="00C07EA2" w:rsidRDefault="00545802" w:rsidP="00545802">
            <w:pPr>
              <w:jc w:val="center"/>
            </w:pPr>
            <w:r w:rsidRPr="00C07EA2">
              <w:rPr>
                <w:rFonts w:ascii="Times New Roman" w:eastAsia="Times New Roman" w:hAnsi="Times New Roman" w:cs="Times New Roman"/>
                <w:sz w:val="18"/>
              </w:rPr>
              <w:t>12</w:t>
            </w:r>
          </w:p>
        </w:tc>
        <w:tc>
          <w:tcPr>
            <w:tcW w:w="810" w:type="dxa"/>
            <w:tcBorders>
              <w:bottom w:val="single" w:sz="8" w:space="0" w:color="000000"/>
              <w:right w:val="single" w:sz="8" w:space="0" w:color="000000"/>
            </w:tcBorders>
          </w:tcPr>
          <w:p w14:paraId="30EDCA87" w14:textId="77777777" w:rsidR="00545802" w:rsidRPr="00C07EA2" w:rsidRDefault="00545802" w:rsidP="00545802">
            <w:pPr>
              <w:jc w:val="center"/>
            </w:pPr>
            <w:r w:rsidRPr="00C07EA2">
              <w:rPr>
                <w:rFonts w:ascii="Times New Roman" w:eastAsia="Times New Roman" w:hAnsi="Times New Roman" w:cs="Times New Roman"/>
                <w:sz w:val="18"/>
              </w:rPr>
              <w:t>1.5%</w:t>
            </w:r>
          </w:p>
        </w:tc>
        <w:tc>
          <w:tcPr>
            <w:tcW w:w="990" w:type="dxa"/>
            <w:tcBorders>
              <w:bottom w:val="single" w:sz="8" w:space="0" w:color="000000"/>
              <w:right w:val="single" w:sz="8" w:space="0" w:color="000000"/>
            </w:tcBorders>
          </w:tcPr>
          <w:p w14:paraId="2D7F79B9" w14:textId="77777777" w:rsidR="00545802" w:rsidRPr="00C07EA2" w:rsidRDefault="00545802" w:rsidP="00545802">
            <w:pPr>
              <w:jc w:val="center"/>
            </w:pPr>
            <w:r w:rsidRPr="00C07EA2">
              <w:rPr>
                <w:rFonts w:ascii="Times New Roman" w:eastAsia="Times New Roman" w:hAnsi="Times New Roman" w:cs="Times New Roman"/>
                <w:sz w:val="18"/>
              </w:rPr>
              <w:t>20</w:t>
            </w:r>
          </w:p>
        </w:tc>
        <w:tc>
          <w:tcPr>
            <w:tcW w:w="810" w:type="dxa"/>
            <w:tcBorders>
              <w:bottom w:val="single" w:sz="8" w:space="0" w:color="000000"/>
              <w:right w:val="single" w:sz="8" w:space="0" w:color="000000"/>
            </w:tcBorders>
          </w:tcPr>
          <w:p w14:paraId="0E6D6CE3" w14:textId="77777777" w:rsidR="00545802" w:rsidRPr="00C07EA2" w:rsidRDefault="00545802" w:rsidP="00545802">
            <w:pPr>
              <w:jc w:val="center"/>
            </w:pPr>
            <w:r w:rsidRPr="00C07EA2">
              <w:rPr>
                <w:rFonts w:ascii="Times New Roman" w:eastAsia="Times New Roman" w:hAnsi="Times New Roman" w:cs="Times New Roman"/>
                <w:sz w:val="18"/>
              </w:rPr>
              <w:t>2.5 %</w:t>
            </w:r>
          </w:p>
        </w:tc>
        <w:tc>
          <w:tcPr>
            <w:tcW w:w="990" w:type="dxa"/>
            <w:tcBorders>
              <w:bottom w:val="single" w:sz="8" w:space="0" w:color="000000"/>
              <w:right w:val="single" w:sz="8" w:space="0" w:color="000000"/>
            </w:tcBorders>
          </w:tcPr>
          <w:p w14:paraId="16F704EA" w14:textId="77777777" w:rsidR="00545802" w:rsidRPr="00C07EA2" w:rsidRDefault="00545802" w:rsidP="00545802">
            <w:pPr>
              <w:jc w:val="center"/>
            </w:pPr>
            <w:r w:rsidRPr="00C07EA2">
              <w:rPr>
                <w:rFonts w:ascii="Times New Roman" w:eastAsia="Times New Roman" w:hAnsi="Times New Roman" w:cs="Times New Roman"/>
                <w:sz w:val="18"/>
              </w:rPr>
              <w:t>8</w:t>
            </w:r>
          </w:p>
        </w:tc>
        <w:tc>
          <w:tcPr>
            <w:tcW w:w="810" w:type="dxa"/>
            <w:tcBorders>
              <w:bottom w:val="single" w:sz="8" w:space="0" w:color="000000"/>
              <w:right w:val="single" w:sz="8" w:space="0" w:color="000000"/>
            </w:tcBorders>
          </w:tcPr>
          <w:p w14:paraId="1D8448EF" w14:textId="77777777" w:rsidR="00545802" w:rsidRPr="00C07EA2" w:rsidRDefault="00545802" w:rsidP="00545802">
            <w:pPr>
              <w:jc w:val="center"/>
            </w:pPr>
            <w:r w:rsidRPr="00C07EA2">
              <w:rPr>
                <w:rFonts w:ascii="Times New Roman" w:eastAsia="Times New Roman" w:hAnsi="Times New Roman" w:cs="Times New Roman"/>
                <w:sz w:val="18"/>
              </w:rPr>
              <w:t>1</w:t>
            </w:r>
            <w:r w:rsidR="009C2A58">
              <w:rPr>
                <w:rFonts w:ascii="Times New Roman" w:eastAsia="Times New Roman" w:hAnsi="Times New Roman" w:cs="Times New Roman"/>
                <w:sz w:val="18"/>
              </w:rPr>
              <w:t>.0</w:t>
            </w:r>
            <w:r w:rsidRPr="00C07EA2">
              <w:rPr>
                <w:rFonts w:ascii="Times New Roman" w:eastAsia="Times New Roman" w:hAnsi="Times New Roman" w:cs="Times New Roman"/>
                <w:sz w:val="18"/>
              </w:rPr>
              <w:t>%</w:t>
            </w:r>
          </w:p>
        </w:tc>
      </w:tr>
      <w:tr w:rsidR="00545802" w14:paraId="67D6B91B" w14:textId="77777777" w:rsidTr="00545802">
        <w:tc>
          <w:tcPr>
            <w:tcW w:w="648" w:type="dxa"/>
            <w:tcBorders>
              <w:left w:val="single" w:sz="8" w:space="0" w:color="000000"/>
              <w:bottom w:val="single" w:sz="8" w:space="0" w:color="000000"/>
              <w:right w:val="single" w:sz="8" w:space="0" w:color="000000"/>
            </w:tcBorders>
            <w:shd w:val="clear" w:color="auto" w:fill="F2F2F2"/>
          </w:tcPr>
          <w:p w14:paraId="3E3C3D3C" w14:textId="77777777" w:rsidR="00545802" w:rsidRPr="00C07EA2" w:rsidRDefault="00545802" w:rsidP="00545802">
            <w:pPr>
              <w:jc w:val="center"/>
            </w:pPr>
            <w:r w:rsidRPr="00C07EA2">
              <w:rPr>
                <w:rFonts w:ascii="Times New Roman" w:eastAsia="Times New Roman" w:hAnsi="Times New Roman" w:cs="Times New Roman"/>
                <w:sz w:val="18"/>
                <w:shd w:val="clear" w:color="auto" w:fill="F2F2F2"/>
              </w:rPr>
              <w:t>2013</w:t>
            </w:r>
          </w:p>
        </w:tc>
        <w:tc>
          <w:tcPr>
            <w:tcW w:w="1080" w:type="dxa"/>
            <w:tcBorders>
              <w:bottom w:val="single" w:sz="8" w:space="0" w:color="000000"/>
              <w:right w:val="single" w:sz="8" w:space="0" w:color="000000"/>
            </w:tcBorders>
            <w:shd w:val="clear" w:color="auto" w:fill="F2F2F2"/>
          </w:tcPr>
          <w:p w14:paraId="2805FAA5" w14:textId="77777777" w:rsidR="00545802" w:rsidRPr="00C07EA2" w:rsidRDefault="00545802" w:rsidP="00545802">
            <w:pPr>
              <w:jc w:val="center"/>
            </w:pPr>
            <w:r w:rsidRPr="00C07EA2">
              <w:rPr>
                <w:rFonts w:ascii="Times New Roman" w:eastAsia="Times New Roman" w:hAnsi="Times New Roman" w:cs="Times New Roman"/>
                <w:sz w:val="18"/>
                <w:shd w:val="clear" w:color="auto" w:fill="F2F2F2"/>
              </w:rPr>
              <w:t>47</w:t>
            </w:r>
          </w:p>
        </w:tc>
        <w:tc>
          <w:tcPr>
            <w:tcW w:w="720" w:type="dxa"/>
            <w:tcBorders>
              <w:bottom w:val="single" w:sz="8" w:space="0" w:color="000000"/>
              <w:right w:val="single" w:sz="8" w:space="0" w:color="000000"/>
            </w:tcBorders>
            <w:shd w:val="clear" w:color="auto" w:fill="F2F2F2"/>
          </w:tcPr>
          <w:p w14:paraId="086D493D" w14:textId="77777777" w:rsidR="00545802" w:rsidRPr="00C07EA2" w:rsidRDefault="00545802" w:rsidP="00545802">
            <w:pPr>
              <w:jc w:val="center"/>
            </w:pPr>
            <w:r w:rsidRPr="00C07EA2">
              <w:rPr>
                <w:rFonts w:ascii="Times New Roman" w:eastAsia="Times New Roman" w:hAnsi="Times New Roman" w:cs="Times New Roman"/>
                <w:sz w:val="18"/>
                <w:shd w:val="clear" w:color="auto" w:fill="F2F2F2"/>
              </w:rPr>
              <w:t>5.3%</w:t>
            </w:r>
          </w:p>
        </w:tc>
        <w:tc>
          <w:tcPr>
            <w:tcW w:w="270" w:type="dxa"/>
            <w:tcBorders>
              <w:bottom w:val="single" w:sz="8" w:space="0" w:color="000000"/>
            </w:tcBorders>
            <w:shd w:val="clear" w:color="auto" w:fill="000000" w:themeFill="text1"/>
          </w:tcPr>
          <w:p w14:paraId="639F4C99" w14:textId="77777777" w:rsidR="00545802" w:rsidRPr="00C07EA2" w:rsidRDefault="00545802" w:rsidP="00545802">
            <w:pPr>
              <w:jc w:val="center"/>
              <w:rPr>
                <w:rFonts w:ascii="Times New Roman" w:eastAsia="Times New Roman" w:hAnsi="Times New Roman" w:cs="Times New Roman"/>
                <w:sz w:val="18"/>
                <w:highlight w:val="white"/>
              </w:rPr>
            </w:pPr>
          </w:p>
        </w:tc>
        <w:tc>
          <w:tcPr>
            <w:tcW w:w="810" w:type="dxa"/>
            <w:tcBorders>
              <w:bottom w:val="single" w:sz="8" w:space="0" w:color="000000"/>
              <w:right w:val="single" w:sz="8" w:space="0" w:color="000000"/>
            </w:tcBorders>
            <w:shd w:val="clear" w:color="auto" w:fill="FFFFFF"/>
          </w:tcPr>
          <w:p w14:paraId="714A868F" w14:textId="77777777" w:rsidR="00545802" w:rsidRPr="00C07EA2" w:rsidRDefault="00545802" w:rsidP="00545802">
            <w:pPr>
              <w:jc w:val="center"/>
            </w:pPr>
            <w:r w:rsidRPr="00C07EA2">
              <w:rPr>
                <w:rFonts w:ascii="Times New Roman" w:eastAsia="Times New Roman" w:hAnsi="Times New Roman" w:cs="Times New Roman"/>
                <w:sz w:val="18"/>
                <w:highlight w:val="white"/>
              </w:rPr>
              <w:t>2014</w:t>
            </w:r>
          </w:p>
        </w:tc>
        <w:tc>
          <w:tcPr>
            <w:tcW w:w="1080" w:type="dxa"/>
            <w:tcBorders>
              <w:bottom w:val="single" w:sz="8" w:space="0" w:color="000000"/>
              <w:right w:val="single" w:sz="8" w:space="0" w:color="000000"/>
            </w:tcBorders>
          </w:tcPr>
          <w:p w14:paraId="53191B40" w14:textId="77777777" w:rsidR="00545802" w:rsidRPr="00C07EA2" w:rsidRDefault="00545802" w:rsidP="00545802">
            <w:pPr>
              <w:jc w:val="center"/>
            </w:pPr>
            <w:r w:rsidRPr="00C07EA2">
              <w:rPr>
                <w:rFonts w:ascii="Times New Roman" w:eastAsia="Times New Roman" w:hAnsi="Times New Roman" w:cs="Times New Roman"/>
                <w:sz w:val="18"/>
              </w:rPr>
              <w:t>17</w:t>
            </w:r>
          </w:p>
        </w:tc>
        <w:tc>
          <w:tcPr>
            <w:tcW w:w="810" w:type="dxa"/>
            <w:tcBorders>
              <w:bottom w:val="single" w:sz="8" w:space="0" w:color="000000"/>
              <w:right w:val="single" w:sz="8" w:space="0" w:color="000000"/>
            </w:tcBorders>
          </w:tcPr>
          <w:p w14:paraId="05375778" w14:textId="77777777" w:rsidR="00545802" w:rsidRPr="00C07EA2" w:rsidRDefault="00545802" w:rsidP="00545802">
            <w:pPr>
              <w:jc w:val="center"/>
            </w:pPr>
            <w:r w:rsidRPr="00C07EA2">
              <w:rPr>
                <w:rFonts w:ascii="Times New Roman" w:eastAsia="Times New Roman" w:hAnsi="Times New Roman" w:cs="Times New Roman"/>
                <w:sz w:val="18"/>
              </w:rPr>
              <w:t>2</w:t>
            </w:r>
            <w:r w:rsidR="009C2A58">
              <w:rPr>
                <w:rFonts w:ascii="Times New Roman" w:eastAsia="Times New Roman" w:hAnsi="Times New Roman" w:cs="Times New Roman"/>
                <w:sz w:val="18"/>
              </w:rPr>
              <w:t>.0</w:t>
            </w:r>
            <w:r w:rsidRPr="00C07EA2">
              <w:rPr>
                <w:rFonts w:ascii="Times New Roman" w:eastAsia="Times New Roman" w:hAnsi="Times New Roman" w:cs="Times New Roman"/>
                <w:sz w:val="18"/>
              </w:rPr>
              <w:t>%</w:t>
            </w:r>
          </w:p>
        </w:tc>
        <w:tc>
          <w:tcPr>
            <w:tcW w:w="990" w:type="dxa"/>
            <w:tcBorders>
              <w:bottom w:val="single" w:sz="8" w:space="0" w:color="000000"/>
              <w:right w:val="single" w:sz="8" w:space="0" w:color="000000"/>
            </w:tcBorders>
          </w:tcPr>
          <w:p w14:paraId="37235BAE" w14:textId="77777777" w:rsidR="00545802" w:rsidRPr="00C07EA2" w:rsidRDefault="00545802" w:rsidP="00545802">
            <w:pPr>
              <w:jc w:val="center"/>
            </w:pPr>
            <w:r w:rsidRPr="00C07EA2">
              <w:rPr>
                <w:rFonts w:ascii="Times New Roman" w:eastAsia="Times New Roman" w:hAnsi="Times New Roman" w:cs="Times New Roman"/>
                <w:sz w:val="18"/>
              </w:rPr>
              <w:t>12</w:t>
            </w:r>
          </w:p>
        </w:tc>
        <w:tc>
          <w:tcPr>
            <w:tcW w:w="810" w:type="dxa"/>
            <w:tcBorders>
              <w:bottom w:val="single" w:sz="8" w:space="0" w:color="000000"/>
              <w:right w:val="single" w:sz="8" w:space="0" w:color="000000"/>
            </w:tcBorders>
          </w:tcPr>
          <w:p w14:paraId="6280E7D1" w14:textId="77777777" w:rsidR="00545802" w:rsidRPr="00C07EA2" w:rsidRDefault="00545802" w:rsidP="00545802">
            <w:pPr>
              <w:jc w:val="center"/>
            </w:pPr>
            <w:r w:rsidRPr="00C07EA2">
              <w:rPr>
                <w:rFonts w:ascii="Times New Roman" w:eastAsia="Times New Roman" w:hAnsi="Times New Roman" w:cs="Times New Roman"/>
                <w:sz w:val="18"/>
              </w:rPr>
              <w:t>1.4%</w:t>
            </w:r>
          </w:p>
        </w:tc>
        <w:tc>
          <w:tcPr>
            <w:tcW w:w="990" w:type="dxa"/>
            <w:tcBorders>
              <w:bottom w:val="single" w:sz="8" w:space="0" w:color="000000"/>
              <w:right w:val="single" w:sz="8" w:space="0" w:color="000000"/>
            </w:tcBorders>
          </w:tcPr>
          <w:p w14:paraId="064A3351" w14:textId="77777777" w:rsidR="00545802" w:rsidRPr="00C07EA2" w:rsidRDefault="00545802" w:rsidP="00545802">
            <w:pPr>
              <w:jc w:val="center"/>
            </w:pPr>
            <w:r w:rsidRPr="00C07EA2">
              <w:rPr>
                <w:rFonts w:ascii="Times New Roman" w:eastAsia="Times New Roman" w:hAnsi="Times New Roman" w:cs="Times New Roman"/>
                <w:sz w:val="18"/>
              </w:rPr>
              <w:t>14</w:t>
            </w:r>
          </w:p>
        </w:tc>
        <w:tc>
          <w:tcPr>
            <w:tcW w:w="810" w:type="dxa"/>
            <w:tcBorders>
              <w:bottom w:val="single" w:sz="8" w:space="0" w:color="000000"/>
              <w:right w:val="single" w:sz="8" w:space="0" w:color="000000"/>
            </w:tcBorders>
          </w:tcPr>
          <w:p w14:paraId="679F5D9A" w14:textId="77777777" w:rsidR="00545802" w:rsidRPr="00C07EA2" w:rsidRDefault="00545802" w:rsidP="00545802">
            <w:pPr>
              <w:jc w:val="center"/>
            </w:pPr>
            <w:r w:rsidRPr="00C07EA2">
              <w:rPr>
                <w:rFonts w:ascii="Times New Roman" w:eastAsia="Times New Roman" w:hAnsi="Times New Roman" w:cs="Times New Roman"/>
                <w:sz w:val="18"/>
              </w:rPr>
              <w:t>1.6%</w:t>
            </w:r>
          </w:p>
        </w:tc>
      </w:tr>
    </w:tbl>
    <w:p w14:paraId="33882AAF" w14:textId="77777777" w:rsidR="009C2A58" w:rsidRDefault="009C2A58" w:rsidP="009C2A58">
      <w:pPr>
        <w:spacing w:line="240" w:lineRule="auto"/>
        <w:rPr>
          <w:rFonts w:ascii="Times New Roman" w:eastAsia="Times New Roman" w:hAnsi="Times New Roman" w:cs="Times New Roman"/>
          <w:b/>
        </w:rPr>
      </w:pPr>
    </w:p>
    <w:p w14:paraId="09DA484E" w14:textId="77777777" w:rsidR="00AF5831" w:rsidRPr="00C07EA2" w:rsidRDefault="00007B56" w:rsidP="009C2A58">
      <w:pPr>
        <w:spacing w:after="200" w:line="240" w:lineRule="auto"/>
        <w:ind w:firstLine="720"/>
        <w:rPr>
          <w:szCs w:val="22"/>
        </w:rPr>
      </w:pPr>
      <w:r w:rsidRPr="00381DB1">
        <w:rPr>
          <w:rFonts w:ascii="Times New Roman" w:eastAsia="Times New Roman" w:hAnsi="Times New Roman" w:cs="Times New Roman"/>
          <w:szCs w:val="22"/>
        </w:rPr>
        <w:t>Overall student success indicators remain in the positiv</w:t>
      </w:r>
      <w:r w:rsidR="00381DB1">
        <w:rPr>
          <w:rFonts w:ascii="Times New Roman" w:eastAsia="Times New Roman" w:hAnsi="Times New Roman" w:cs="Times New Roman"/>
          <w:szCs w:val="22"/>
        </w:rPr>
        <w:t xml:space="preserve">e direction; still, there is an </w:t>
      </w:r>
      <w:r w:rsidRPr="00381DB1">
        <w:rPr>
          <w:rFonts w:ascii="Times New Roman" w:eastAsia="Times New Roman" w:hAnsi="Times New Roman" w:cs="Times New Roman"/>
          <w:szCs w:val="22"/>
        </w:rPr>
        <w:t>awareness that some momentum was lost between the first and the second year of the Gateway implementation related to the student success indicators. For instance, probation rates increased slightly (+.6%) between fall 2012 and 2013, and again from spring 2013 to 2014 (+.5%). While various factors may have contributed to these increases such as a significantly larger first-year class size in the 2013 compared to 2012 (from 772 to 890 students), there is a</w:t>
      </w:r>
      <w:r w:rsidR="009E00A0">
        <w:rPr>
          <w:rFonts w:ascii="Times New Roman" w:eastAsia="Times New Roman" w:hAnsi="Times New Roman" w:cs="Times New Roman"/>
          <w:szCs w:val="22"/>
        </w:rPr>
        <w:t>n emerging</w:t>
      </w:r>
      <w:r w:rsidRPr="00381DB1">
        <w:rPr>
          <w:rFonts w:ascii="Times New Roman" w:eastAsia="Times New Roman" w:hAnsi="Times New Roman" w:cs="Times New Roman"/>
          <w:szCs w:val="22"/>
        </w:rPr>
        <w:t xml:space="preserve"> recognition that continuous faculty development efforts in general is a necessity, but particularly in the area of student success. Much work needs to be done in the area of developing a retention-minded faculty.</w:t>
      </w:r>
    </w:p>
    <w:p w14:paraId="16148BD1" w14:textId="77777777" w:rsidR="00AF5831" w:rsidRDefault="00007B56">
      <w:pPr>
        <w:spacing w:after="200"/>
      </w:pPr>
      <w:r>
        <w:rPr>
          <w:rFonts w:ascii="Times New Roman" w:eastAsia="Times New Roman" w:hAnsi="Times New Roman" w:cs="Times New Roman"/>
          <w:b/>
          <w:sz w:val="24"/>
        </w:rPr>
        <w:t>Faculty Development</w:t>
      </w:r>
    </w:p>
    <w:p w14:paraId="2D447C3C" w14:textId="77777777" w:rsidR="00935112" w:rsidRDefault="00007B56" w:rsidP="005F03B5">
      <w:pPr>
        <w:spacing w:after="200" w:line="240" w:lineRule="auto"/>
        <w:ind w:firstLine="720"/>
      </w:pPr>
      <w:r>
        <w:rPr>
          <w:rFonts w:ascii="Times New Roman" w:eastAsia="Times New Roman" w:hAnsi="Times New Roman" w:cs="Times New Roman"/>
        </w:rPr>
        <w:t>The generous support of the Davis Education Foundation has enabled the Gateway Program to remain focused on professional development and ongoing assessment. Built into the structure of the program are the means of “closing the loop” by</w:t>
      </w:r>
      <w:r w:rsidR="00AF5831">
        <w:rPr>
          <w:rFonts w:ascii="Times New Roman" w:eastAsia="Times New Roman" w:hAnsi="Times New Roman" w:cs="Times New Roman"/>
        </w:rPr>
        <w:t xml:space="preserve"> faculty participation in</w:t>
      </w:r>
      <w:r w:rsidR="000C204E">
        <w:rPr>
          <w:rFonts w:ascii="Times New Roman" w:eastAsia="Times New Roman" w:hAnsi="Times New Roman" w:cs="Times New Roman"/>
        </w:rPr>
        <w:t xml:space="preserve"> </w:t>
      </w:r>
      <w:r w:rsidR="00AF5831">
        <w:rPr>
          <w:rFonts w:ascii="Times New Roman" w:eastAsia="Times New Roman" w:hAnsi="Times New Roman" w:cs="Times New Roman"/>
        </w:rPr>
        <w:t xml:space="preserve">“communities of practice” and </w:t>
      </w:r>
      <w:r>
        <w:rPr>
          <w:rFonts w:ascii="Times New Roman" w:eastAsia="Times New Roman" w:hAnsi="Times New Roman" w:cs="Times New Roman"/>
        </w:rPr>
        <w:t>using learning outcomes assessment data to inform professional development activities</w:t>
      </w:r>
      <w:r w:rsidR="00AF5831">
        <w:rPr>
          <w:rFonts w:ascii="Times New Roman" w:eastAsia="Times New Roman" w:hAnsi="Times New Roman" w:cs="Times New Roman"/>
        </w:rPr>
        <w:t xml:space="preserve">. </w:t>
      </w:r>
    </w:p>
    <w:p w14:paraId="375EE330" w14:textId="77777777" w:rsidR="00935112" w:rsidRDefault="00007B56">
      <w:pPr>
        <w:rPr>
          <w:rFonts w:ascii="Times New Roman" w:eastAsia="Times New Roman" w:hAnsi="Times New Roman" w:cs="Times New Roman"/>
          <w:b/>
        </w:rPr>
      </w:pPr>
      <w:r>
        <w:rPr>
          <w:rFonts w:ascii="Times New Roman" w:eastAsia="Times New Roman" w:hAnsi="Times New Roman" w:cs="Times New Roman"/>
          <w:b/>
        </w:rPr>
        <w:t>Communities of Practice</w:t>
      </w:r>
    </w:p>
    <w:p w14:paraId="4E3E76A9" w14:textId="77777777" w:rsidR="00935112" w:rsidRPr="00AF5831" w:rsidRDefault="00007B56" w:rsidP="001930F4">
      <w:pPr>
        <w:spacing w:line="240" w:lineRule="auto"/>
        <w:rPr>
          <w:rFonts w:ascii="Times New Roman" w:hAnsi="Times New Roman" w:cs="Times New Roman"/>
          <w:i/>
        </w:rPr>
      </w:pPr>
      <w:r w:rsidRPr="00AF5831">
        <w:rPr>
          <w:rFonts w:ascii="Times New Roman" w:eastAsia="Calibri" w:hAnsi="Times New Roman" w:cs="Times New Roman"/>
          <w:i/>
        </w:rPr>
        <w:t>Communities of practice are groups of people who share a concern or a passion for something they do and learn how to do it better as they interact regularly.</w:t>
      </w:r>
      <w:r w:rsidRPr="00AF5831">
        <w:rPr>
          <w:rFonts w:ascii="Times New Roman" w:eastAsia="Calibri" w:hAnsi="Times New Roman" w:cs="Times New Roman"/>
        </w:rPr>
        <w:tab/>
      </w:r>
      <w:r w:rsidRPr="00AF5831">
        <w:rPr>
          <w:rFonts w:ascii="Times New Roman" w:eastAsia="Calibri" w:hAnsi="Times New Roman" w:cs="Times New Roman"/>
        </w:rPr>
        <w:tab/>
      </w:r>
      <w:r w:rsidRPr="00AF5831">
        <w:rPr>
          <w:rFonts w:ascii="Times New Roman" w:eastAsia="Calibri" w:hAnsi="Times New Roman" w:cs="Times New Roman"/>
        </w:rPr>
        <w:tab/>
      </w:r>
      <w:r w:rsidRPr="00AF5831">
        <w:rPr>
          <w:rFonts w:ascii="Times New Roman" w:eastAsia="Calibri" w:hAnsi="Times New Roman" w:cs="Times New Roman"/>
        </w:rPr>
        <w:tab/>
      </w:r>
    </w:p>
    <w:p w14:paraId="4D5B2383" w14:textId="77777777" w:rsidR="00935112" w:rsidRPr="00AF5831" w:rsidRDefault="00007B56" w:rsidP="001930F4">
      <w:pPr>
        <w:spacing w:line="240" w:lineRule="auto"/>
        <w:jc w:val="right"/>
        <w:rPr>
          <w:rFonts w:ascii="Times New Roman" w:hAnsi="Times New Roman" w:cs="Times New Roman"/>
          <w:i/>
        </w:rPr>
      </w:pPr>
      <w:r w:rsidRPr="00AF5831">
        <w:rPr>
          <w:rFonts w:ascii="Times New Roman" w:eastAsia="Calibri" w:hAnsi="Times New Roman" w:cs="Times New Roman"/>
          <w:i/>
        </w:rPr>
        <w:t>– Etienne Wenger</w:t>
      </w:r>
      <w:r w:rsidR="00A3439C">
        <w:rPr>
          <w:rFonts w:ascii="Times New Roman" w:eastAsia="Calibri" w:hAnsi="Times New Roman" w:cs="Times New Roman"/>
          <w:i/>
        </w:rPr>
        <w:t xml:space="preserve"> (2004)</w:t>
      </w:r>
    </w:p>
    <w:p w14:paraId="3C6E2491" w14:textId="77777777" w:rsidR="00935112" w:rsidRDefault="00007B56">
      <w:pPr>
        <w:spacing w:after="200" w:line="240" w:lineRule="auto"/>
        <w:ind w:firstLine="720"/>
      </w:pPr>
      <w:r>
        <w:rPr>
          <w:rFonts w:ascii="Times New Roman" w:eastAsia="Times New Roman" w:hAnsi="Times New Roman" w:cs="Times New Roman"/>
        </w:rPr>
        <w:t xml:space="preserve">Five Communities of Practice (COPs) were formed and </w:t>
      </w:r>
      <w:r w:rsidR="008057EB">
        <w:rPr>
          <w:rFonts w:ascii="Times New Roman" w:eastAsia="Times New Roman" w:hAnsi="Times New Roman" w:cs="Times New Roman"/>
        </w:rPr>
        <w:t xml:space="preserve">now </w:t>
      </w:r>
      <w:r w:rsidR="00793AB1">
        <w:rPr>
          <w:rFonts w:ascii="Times New Roman" w:eastAsia="Times New Roman" w:hAnsi="Times New Roman" w:cs="Times New Roman"/>
        </w:rPr>
        <w:t>meet</w:t>
      </w:r>
      <w:r>
        <w:rPr>
          <w:rFonts w:ascii="Times New Roman" w:eastAsia="Times New Roman" w:hAnsi="Times New Roman" w:cs="Times New Roman"/>
        </w:rPr>
        <w:t xml:space="preserve"> throughout the ye</w:t>
      </w:r>
      <w:r w:rsidR="00793AB1">
        <w:rPr>
          <w:rFonts w:ascii="Times New Roman" w:eastAsia="Times New Roman" w:hAnsi="Times New Roman" w:cs="Times New Roman"/>
        </w:rPr>
        <w:t>ar. These COPs include</w:t>
      </w:r>
      <w:r>
        <w:rPr>
          <w:rFonts w:ascii="Times New Roman" w:eastAsia="Times New Roman" w:hAnsi="Times New Roman" w:cs="Times New Roman"/>
        </w:rPr>
        <w:t xml:space="preserve"> groups for each of the four</w:t>
      </w:r>
      <w:r w:rsidR="005F03B5">
        <w:rPr>
          <w:rFonts w:ascii="Times New Roman" w:eastAsia="Times New Roman" w:hAnsi="Times New Roman" w:cs="Times New Roman"/>
        </w:rPr>
        <w:t>, three-credit</w:t>
      </w:r>
      <w:r>
        <w:rPr>
          <w:rFonts w:ascii="Times New Roman" w:eastAsia="Times New Roman" w:hAnsi="Times New Roman" w:cs="Times New Roman"/>
        </w:rPr>
        <w:t xml:space="preserve"> Gateway courses (Global Foundations of Character and Leadership, Global Foundations of Organizations and Business, Writing Workshop, and Introduction to Literature), as well as a macro level group consisting of the course coordinators, the Assistant Vice President for Teaching and Learning, the Director of Student Success Programming, and the Assistant to the Vice President for Student Affairs. Each COP me</w:t>
      </w:r>
      <w:r w:rsidR="008057EB">
        <w:rPr>
          <w:rFonts w:ascii="Times New Roman" w:eastAsia="Times New Roman" w:hAnsi="Times New Roman" w:cs="Times New Roman"/>
        </w:rPr>
        <w:t>e</w:t>
      </w:r>
      <w:r>
        <w:rPr>
          <w:rFonts w:ascii="Times New Roman" w:eastAsia="Times New Roman" w:hAnsi="Times New Roman" w:cs="Times New Roman"/>
        </w:rPr>
        <w:t>t</w:t>
      </w:r>
      <w:r w:rsidR="008057EB">
        <w:rPr>
          <w:rFonts w:ascii="Times New Roman" w:eastAsia="Times New Roman" w:hAnsi="Times New Roman" w:cs="Times New Roman"/>
        </w:rPr>
        <w:t>s</w:t>
      </w:r>
      <w:r>
        <w:rPr>
          <w:rFonts w:ascii="Times New Roman" w:eastAsia="Times New Roman" w:hAnsi="Times New Roman" w:cs="Times New Roman"/>
        </w:rPr>
        <w:t xml:space="preserve"> regularly to coordinate Gateway initiatives and reflect on practice.</w:t>
      </w:r>
    </w:p>
    <w:p w14:paraId="687DAF8E" w14:textId="77777777" w:rsidR="00935112" w:rsidRDefault="00007B56">
      <w:r>
        <w:rPr>
          <w:rFonts w:ascii="Times New Roman" w:eastAsia="Times New Roman" w:hAnsi="Times New Roman" w:cs="Times New Roman"/>
          <w:b/>
        </w:rPr>
        <w:t>Gateway Retreats &amp; Professional Development Workshops</w:t>
      </w:r>
    </w:p>
    <w:p w14:paraId="38C4D578" w14:textId="77777777" w:rsidR="00935112" w:rsidRDefault="00007B56" w:rsidP="00AF5831">
      <w:pPr>
        <w:spacing w:line="240" w:lineRule="auto"/>
        <w:ind w:firstLine="720"/>
      </w:pPr>
      <w:r>
        <w:rPr>
          <w:rFonts w:ascii="Times New Roman" w:eastAsia="Times New Roman" w:hAnsi="Times New Roman" w:cs="Times New Roman"/>
        </w:rPr>
        <w:t xml:space="preserve">Beginning with a two-day retreat for Gateway faculty and staff </w:t>
      </w:r>
      <w:r w:rsidR="008057EB">
        <w:rPr>
          <w:rFonts w:ascii="Times New Roman" w:eastAsia="Times New Roman" w:hAnsi="Times New Roman" w:cs="Times New Roman"/>
        </w:rPr>
        <w:t xml:space="preserve">first </w:t>
      </w:r>
      <w:r>
        <w:rPr>
          <w:rFonts w:ascii="Times New Roman" w:eastAsia="Times New Roman" w:hAnsi="Times New Roman" w:cs="Times New Roman"/>
        </w:rPr>
        <w:t>held in June, 2012, the</w:t>
      </w:r>
      <w:r w:rsidR="008057EB">
        <w:rPr>
          <w:rFonts w:ascii="Times New Roman" w:eastAsia="Times New Roman" w:hAnsi="Times New Roman" w:cs="Times New Roman"/>
        </w:rPr>
        <w:t xml:space="preserve"> Gateway leadership team offers</w:t>
      </w:r>
      <w:r>
        <w:rPr>
          <w:rFonts w:ascii="Times New Roman" w:eastAsia="Times New Roman" w:hAnsi="Times New Roman" w:cs="Times New Roman"/>
        </w:rPr>
        <w:t xml:space="preserve"> a myriad of faculty development workshops throughout the year</w:t>
      </w:r>
      <w:r w:rsidR="00AF5831">
        <w:rPr>
          <w:rFonts w:ascii="Times New Roman" w:eastAsia="Times New Roman" w:hAnsi="Times New Roman" w:cs="Times New Roman"/>
        </w:rPr>
        <w:t>. Workshop topics have included:</w:t>
      </w:r>
      <w:r w:rsidR="00005291">
        <w:rPr>
          <w:rFonts w:ascii="Times New Roman" w:eastAsia="Times New Roman" w:hAnsi="Times New Roman" w:cs="Times New Roman"/>
        </w:rPr>
        <w:t xml:space="preserve"> using an </w:t>
      </w:r>
      <w:proofErr w:type="spellStart"/>
      <w:r w:rsidR="00005291">
        <w:rPr>
          <w:rFonts w:ascii="Times New Roman" w:eastAsia="Times New Roman" w:hAnsi="Times New Roman" w:cs="Times New Roman"/>
        </w:rPr>
        <w:t>eP</w:t>
      </w:r>
      <w:r>
        <w:rPr>
          <w:rFonts w:ascii="Times New Roman" w:eastAsia="Times New Roman" w:hAnsi="Times New Roman" w:cs="Times New Roman"/>
        </w:rPr>
        <w:t>ortfolio</w:t>
      </w:r>
      <w:proofErr w:type="spellEnd"/>
      <w:r>
        <w:rPr>
          <w:rFonts w:ascii="Times New Roman" w:eastAsia="Times New Roman" w:hAnsi="Times New Roman" w:cs="Times New Roman"/>
        </w:rPr>
        <w:t>, promoting student reflection, understanding today’s students, working with students with disabilities, connecting curricular and co-curricular programming, diversity awareness, to name just a few. In addition, more targeted faculty and staff development activities have taken place within the communities of practice. For example, the Character and Leadership team has worked with Dr. Kathleen Reardon of the Marshall School at the University of Southern Cal</w:t>
      </w:r>
      <w:r w:rsidR="00AF5831">
        <w:rPr>
          <w:rFonts w:ascii="Times New Roman" w:eastAsia="Times New Roman" w:hAnsi="Times New Roman" w:cs="Times New Roman"/>
        </w:rPr>
        <w:t>ifornia on common definitions of</w:t>
      </w:r>
      <w:r>
        <w:rPr>
          <w:rFonts w:ascii="Times New Roman" w:eastAsia="Times New Roman" w:hAnsi="Times New Roman" w:cs="Times New Roman"/>
        </w:rPr>
        <w:t xml:space="preserve"> character and leadership, as well as classroom strategies and common resources related to the course title. Further, the Writing Workshop tea</w:t>
      </w:r>
      <w:r w:rsidR="008057EB">
        <w:rPr>
          <w:rFonts w:ascii="Times New Roman" w:eastAsia="Times New Roman" w:hAnsi="Times New Roman" w:cs="Times New Roman"/>
        </w:rPr>
        <w:t>m hosted workshops with the auth</w:t>
      </w:r>
      <w:r>
        <w:rPr>
          <w:rFonts w:ascii="Times New Roman" w:eastAsia="Times New Roman" w:hAnsi="Times New Roman" w:cs="Times New Roman"/>
        </w:rPr>
        <w:t xml:space="preserve">or of their textbook, Dr. Michael Palmquist. Most recently, more than 50 faculty and </w:t>
      </w:r>
      <w:r w:rsidR="00005291">
        <w:rPr>
          <w:rFonts w:ascii="Times New Roman" w:eastAsia="Times New Roman" w:hAnsi="Times New Roman" w:cs="Times New Roman"/>
        </w:rPr>
        <w:t xml:space="preserve">staff </w:t>
      </w:r>
      <w:r w:rsidR="00005291">
        <w:rPr>
          <w:rFonts w:ascii="Times New Roman" w:eastAsia="Times New Roman" w:hAnsi="Times New Roman" w:cs="Times New Roman"/>
        </w:rPr>
        <w:lastRenderedPageBreak/>
        <w:t>participated in the second</w:t>
      </w:r>
      <w:r>
        <w:rPr>
          <w:rFonts w:ascii="Times New Roman" w:eastAsia="Times New Roman" w:hAnsi="Times New Roman" w:cs="Times New Roman"/>
        </w:rPr>
        <w:t xml:space="preserve"> annual Gateway retreat. This two-day event reinforced a number of important student success principles on which the program is built, </w:t>
      </w:r>
      <w:r w:rsidR="00BB64C8">
        <w:rPr>
          <w:rFonts w:ascii="Times New Roman" w:eastAsia="Times New Roman" w:hAnsi="Times New Roman" w:cs="Times New Roman"/>
        </w:rPr>
        <w:t>as well as providing opportunities</w:t>
      </w:r>
      <w:r>
        <w:rPr>
          <w:rFonts w:ascii="Times New Roman" w:eastAsia="Times New Roman" w:hAnsi="Times New Roman" w:cs="Times New Roman"/>
        </w:rPr>
        <w:t xml:space="preserve"> for coordinating activities across the communities of practice, including better integration of co-curricular programming.</w:t>
      </w:r>
    </w:p>
    <w:p w14:paraId="723E323C" w14:textId="77777777" w:rsidR="001930F4" w:rsidRDefault="001930F4" w:rsidP="001930F4">
      <w:pPr>
        <w:spacing w:line="240" w:lineRule="auto"/>
        <w:rPr>
          <w:rFonts w:ascii="Times New Roman" w:eastAsia="Times New Roman" w:hAnsi="Times New Roman" w:cs="Times New Roman"/>
          <w:b/>
          <w:sz w:val="24"/>
        </w:rPr>
      </w:pPr>
    </w:p>
    <w:p w14:paraId="571A193D" w14:textId="77777777" w:rsidR="00935112" w:rsidRDefault="00007B56">
      <w:pPr>
        <w:spacing w:after="200"/>
      </w:pPr>
      <w:r>
        <w:rPr>
          <w:rFonts w:ascii="Times New Roman" w:eastAsia="Times New Roman" w:hAnsi="Times New Roman" w:cs="Times New Roman"/>
          <w:b/>
          <w:sz w:val="24"/>
        </w:rPr>
        <w:t>Conclusions and Next Steps</w:t>
      </w:r>
    </w:p>
    <w:p w14:paraId="1F47134D" w14:textId="77777777" w:rsidR="00935112" w:rsidRDefault="00007B56" w:rsidP="009C2A58">
      <w:pPr>
        <w:spacing w:line="240" w:lineRule="auto"/>
        <w:ind w:firstLine="720"/>
      </w:pPr>
      <w:r>
        <w:rPr>
          <w:rFonts w:ascii="Times New Roman" w:eastAsia="Times New Roman" w:hAnsi="Times New Roman" w:cs="Times New Roman"/>
        </w:rPr>
        <w:t xml:space="preserve">Through this groundbreaking model, Bryant’s First-Year Gateway initiative has steadfastly moved  the institution toward providing students with a solid foundation for success by fostering the knowledge, leadership skills and quality of character necessary “to engage responsibly with the life of their time” (Carnegie Foundation, 2011). While there remains a keen awareness that this initiative has ambitious goals aligned with the current climate in higher education, it continues to be approached with confidence that it yields great benefits for both faculty and </w:t>
      </w:r>
      <w:r w:rsidR="00010D12">
        <w:rPr>
          <w:rFonts w:ascii="Times New Roman" w:eastAsia="Times New Roman" w:hAnsi="Times New Roman" w:cs="Times New Roman"/>
        </w:rPr>
        <w:t xml:space="preserve">students.  At the same time, </w:t>
      </w:r>
      <w:r>
        <w:rPr>
          <w:rFonts w:ascii="Times New Roman" w:eastAsia="Times New Roman" w:hAnsi="Times New Roman" w:cs="Times New Roman"/>
        </w:rPr>
        <w:t xml:space="preserve">however, stakeholders recognize the on-going challenges of the paradigm shift.  For instance, integrating student success components across the curriculum is innovative and exciting, yet there are still lingering concerns that shifting to this new model poses some difficulties for the support units and faculty. On the other hand, preliminary assessment data produced during the first two years provides reassurance that Bryant University is clearly moving in the right direction. </w:t>
      </w:r>
    </w:p>
    <w:p w14:paraId="04BC3829" w14:textId="77777777" w:rsidR="00935112" w:rsidRDefault="00007B56" w:rsidP="009C2A58">
      <w:pPr>
        <w:spacing w:line="240" w:lineRule="auto"/>
        <w:ind w:firstLine="720"/>
      </w:pPr>
      <w:r>
        <w:rPr>
          <w:rFonts w:ascii="Times New Roman" w:eastAsia="Times New Roman" w:hAnsi="Times New Roman" w:cs="Times New Roman"/>
        </w:rPr>
        <w:t>There is still much work to be done, but the Gateway model has produced clear benefits for students and faculty.  Perhaps of paramount importance is that the model has fostered faculty’</w:t>
      </w:r>
      <w:r w:rsidR="008057EB">
        <w:rPr>
          <w:rFonts w:ascii="Times New Roman" w:eastAsia="Times New Roman" w:hAnsi="Times New Roman" w:cs="Times New Roman"/>
        </w:rPr>
        <w:t>s deeper understanding of first-</w:t>
      </w:r>
      <w:r>
        <w:rPr>
          <w:rFonts w:ascii="Times New Roman" w:eastAsia="Times New Roman" w:hAnsi="Times New Roman" w:cs="Times New Roman"/>
        </w:rPr>
        <w:t>year transitions and student success, and the COP paradigm has created opportunities for faculty to discuss their pedagogy. Indeed, the model has fostered a deep understanding that faculty development is critical to changing institutional climate and culture. Providing faculty and staff with diverse professional development opportunities has contributed to both the motivation and energy to stay focused on continuous improvement efforts. For instance, the development of a S</w:t>
      </w:r>
      <w:r w:rsidR="00D942AC">
        <w:rPr>
          <w:rFonts w:ascii="Times New Roman" w:eastAsia="Times New Roman" w:hAnsi="Times New Roman" w:cs="Times New Roman"/>
        </w:rPr>
        <w:t xml:space="preserve">mall </w:t>
      </w:r>
      <w:r>
        <w:rPr>
          <w:rFonts w:ascii="Times New Roman" w:eastAsia="Times New Roman" w:hAnsi="Times New Roman" w:cs="Times New Roman"/>
        </w:rPr>
        <w:t>P</w:t>
      </w:r>
      <w:r w:rsidR="00D942AC">
        <w:rPr>
          <w:rFonts w:ascii="Times New Roman" w:eastAsia="Times New Roman" w:hAnsi="Times New Roman" w:cs="Times New Roman"/>
        </w:rPr>
        <w:t xml:space="preserve">rivate </w:t>
      </w:r>
      <w:r>
        <w:rPr>
          <w:rFonts w:ascii="Times New Roman" w:eastAsia="Times New Roman" w:hAnsi="Times New Roman" w:cs="Times New Roman"/>
        </w:rPr>
        <w:t>O</w:t>
      </w:r>
      <w:r w:rsidR="00D942AC">
        <w:rPr>
          <w:rFonts w:ascii="Times New Roman" w:eastAsia="Times New Roman" w:hAnsi="Times New Roman" w:cs="Times New Roman"/>
        </w:rPr>
        <w:t xml:space="preserve">nline </w:t>
      </w:r>
      <w:r>
        <w:rPr>
          <w:rFonts w:ascii="Times New Roman" w:eastAsia="Times New Roman" w:hAnsi="Times New Roman" w:cs="Times New Roman"/>
        </w:rPr>
        <w:t>C</w:t>
      </w:r>
      <w:r w:rsidR="00D942AC">
        <w:rPr>
          <w:rFonts w:ascii="Times New Roman" w:eastAsia="Times New Roman" w:hAnsi="Times New Roman" w:cs="Times New Roman"/>
        </w:rPr>
        <w:t>lass (SPOC)</w:t>
      </w:r>
      <w:r>
        <w:rPr>
          <w:rFonts w:ascii="Times New Roman" w:eastAsia="Times New Roman" w:hAnsi="Times New Roman" w:cs="Times New Roman"/>
        </w:rPr>
        <w:t xml:space="preserve"> to frontload some of the student success goals is nearly complete.</w:t>
      </w:r>
      <w:r w:rsidR="000C204E">
        <w:rPr>
          <w:rFonts w:ascii="Times New Roman" w:eastAsia="Times New Roman" w:hAnsi="Times New Roman" w:cs="Times New Roman"/>
        </w:rPr>
        <w:t xml:space="preserve"> </w:t>
      </w:r>
      <w:r w:rsidR="008057EB">
        <w:rPr>
          <w:rFonts w:ascii="Times New Roman" w:eastAsia="Times New Roman" w:hAnsi="Times New Roman" w:cs="Times New Roman"/>
        </w:rPr>
        <w:t xml:space="preserve">First-years will be expected to complete the SPOC prior to entering in September, </w:t>
      </w:r>
      <w:proofErr w:type="gramStart"/>
      <w:r w:rsidR="008057EB">
        <w:rPr>
          <w:rFonts w:ascii="Times New Roman" w:eastAsia="Times New Roman" w:hAnsi="Times New Roman" w:cs="Times New Roman"/>
        </w:rPr>
        <w:t xml:space="preserve">2014 </w:t>
      </w:r>
      <w:r>
        <w:rPr>
          <w:rFonts w:ascii="Times New Roman" w:eastAsia="Times New Roman" w:hAnsi="Times New Roman" w:cs="Times New Roman"/>
        </w:rPr>
        <w:t xml:space="preserve"> Further</w:t>
      </w:r>
      <w:proofErr w:type="gramEnd"/>
      <w:r>
        <w:rPr>
          <w:rFonts w:ascii="Times New Roman" w:eastAsia="Times New Roman" w:hAnsi="Times New Roman" w:cs="Times New Roman"/>
        </w:rPr>
        <w:t>, there is</w:t>
      </w:r>
      <w:r w:rsidR="00410067">
        <w:rPr>
          <w:rFonts w:ascii="Times New Roman" w:eastAsia="Times New Roman" w:hAnsi="Times New Roman" w:cs="Times New Roman"/>
        </w:rPr>
        <w:t xml:space="preserve"> widespread openness to continuing</w:t>
      </w:r>
      <w:r>
        <w:rPr>
          <w:rFonts w:ascii="Times New Roman" w:eastAsia="Times New Roman" w:hAnsi="Times New Roman" w:cs="Times New Roman"/>
        </w:rPr>
        <w:t xml:space="preserve"> w</w:t>
      </w:r>
      <w:r w:rsidR="00410067">
        <w:rPr>
          <w:rFonts w:ascii="Times New Roman" w:eastAsia="Times New Roman" w:hAnsi="Times New Roman" w:cs="Times New Roman"/>
        </w:rPr>
        <w:t>ith additional</w:t>
      </w:r>
      <w:r>
        <w:rPr>
          <w:rFonts w:ascii="Times New Roman" w:eastAsia="Times New Roman" w:hAnsi="Times New Roman" w:cs="Times New Roman"/>
        </w:rPr>
        <w:t xml:space="preserve"> faculty and staff development opportunities such as:</w:t>
      </w:r>
    </w:p>
    <w:p w14:paraId="43C31F70" w14:textId="77777777" w:rsidR="00935112" w:rsidRPr="009C2A58" w:rsidRDefault="00007B56" w:rsidP="009C2A58">
      <w:pPr>
        <w:pStyle w:val="ListParagraph"/>
        <w:numPr>
          <w:ilvl w:val="0"/>
          <w:numId w:val="11"/>
        </w:numPr>
        <w:spacing w:after="200" w:line="240" w:lineRule="auto"/>
        <w:rPr>
          <w:rFonts w:ascii="Times New Roman" w:eastAsia="Times New Roman" w:hAnsi="Times New Roman" w:cs="Times New Roman"/>
        </w:rPr>
      </w:pPr>
      <w:r w:rsidRPr="009C2A58">
        <w:rPr>
          <w:rFonts w:ascii="Times New Roman" w:eastAsia="Times New Roman" w:hAnsi="Times New Roman" w:cs="Times New Roman"/>
        </w:rPr>
        <w:t>Working to improve communication and collaboration among stakeholders</w:t>
      </w:r>
    </w:p>
    <w:p w14:paraId="2F99DB6A" w14:textId="77777777" w:rsidR="00935112" w:rsidRPr="009C2A58" w:rsidRDefault="00007B56" w:rsidP="009C2A58">
      <w:pPr>
        <w:pStyle w:val="ListParagraph"/>
        <w:numPr>
          <w:ilvl w:val="0"/>
          <w:numId w:val="11"/>
        </w:numPr>
        <w:spacing w:after="200" w:line="240" w:lineRule="auto"/>
        <w:rPr>
          <w:rFonts w:ascii="Times New Roman" w:eastAsia="Times New Roman" w:hAnsi="Times New Roman" w:cs="Times New Roman"/>
        </w:rPr>
      </w:pPr>
      <w:r w:rsidRPr="009C2A58">
        <w:rPr>
          <w:rFonts w:ascii="Times New Roman" w:eastAsia="Times New Roman" w:hAnsi="Times New Roman" w:cs="Times New Roman"/>
        </w:rPr>
        <w:t>On-going B</w:t>
      </w:r>
      <w:r w:rsidR="00DE7C43" w:rsidRPr="009C2A58">
        <w:rPr>
          <w:rFonts w:ascii="Times New Roman" w:eastAsia="Times New Roman" w:hAnsi="Times New Roman" w:cs="Times New Roman"/>
        </w:rPr>
        <w:t>lack</w:t>
      </w:r>
      <w:r w:rsidRPr="009C2A58">
        <w:rPr>
          <w:rFonts w:ascii="Times New Roman" w:eastAsia="Times New Roman" w:hAnsi="Times New Roman" w:cs="Times New Roman"/>
        </w:rPr>
        <w:t>b</w:t>
      </w:r>
      <w:r w:rsidR="00DE7C43" w:rsidRPr="009C2A58">
        <w:rPr>
          <w:rFonts w:ascii="Times New Roman" w:eastAsia="Times New Roman" w:hAnsi="Times New Roman" w:cs="Times New Roman"/>
        </w:rPr>
        <w:t>oard</w:t>
      </w:r>
      <w:r w:rsidR="00410067" w:rsidRPr="009C2A58">
        <w:rPr>
          <w:rFonts w:ascii="Times New Roman" w:eastAsia="Times New Roman" w:hAnsi="Times New Roman" w:cs="Times New Roman"/>
        </w:rPr>
        <w:t xml:space="preserve"> and </w:t>
      </w:r>
      <w:proofErr w:type="spellStart"/>
      <w:r w:rsidR="00410067" w:rsidRPr="009C2A58">
        <w:rPr>
          <w:rFonts w:ascii="Times New Roman" w:eastAsia="Times New Roman" w:hAnsi="Times New Roman" w:cs="Times New Roman"/>
        </w:rPr>
        <w:t>eP</w:t>
      </w:r>
      <w:r w:rsidRPr="009C2A58">
        <w:rPr>
          <w:rFonts w:ascii="Times New Roman" w:eastAsia="Times New Roman" w:hAnsi="Times New Roman" w:cs="Times New Roman"/>
        </w:rPr>
        <w:t>ortfolio</w:t>
      </w:r>
      <w:proofErr w:type="spellEnd"/>
      <w:r w:rsidRPr="009C2A58">
        <w:rPr>
          <w:rFonts w:ascii="Times New Roman" w:eastAsia="Times New Roman" w:hAnsi="Times New Roman" w:cs="Times New Roman"/>
        </w:rPr>
        <w:t xml:space="preserve"> training</w:t>
      </w:r>
    </w:p>
    <w:p w14:paraId="3C832F2D" w14:textId="77777777" w:rsidR="00935112" w:rsidRPr="009C2A58" w:rsidRDefault="00007B56" w:rsidP="009C2A58">
      <w:pPr>
        <w:pStyle w:val="ListParagraph"/>
        <w:numPr>
          <w:ilvl w:val="0"/>
          <w:numId w:val="11"/>
        </w:numPr>
        <w:spacing w:after="200" w:line="240" w:lineRule="auto"/>
        <w:rPr>
          <w:rFonts w:ascii="Times New Roman" w:eastAsia="Times New Roman" w:hAnsi="Times New Roman" w:cs="Times New Roman"/>
        </w:rPr>
      </w:pPr>
      <w:r w:rsidRPr="009C2A58">
        <w:rPr>
          <w:rFonts w:ascii="Times New Roman" w:eastAsia="Times New Roman" w:hAnsi="Times New Roman" w:cs="Times New Roman"/>
        </w:rPr>
        <w:t>Creating experiences for faculty and staff to reflect on practice</w:t>
      </w:r>
    </w:p>
    <w:p w14:paraId="0FB597A2" w14:textId="77777777" w:rsidR="00935112" w:rsidRPr="009C2A58" w:rsidRDefault="00007B56" w:rsidP="009C2A58">
      <w:pPr>
        <w:pStyle w:val="ListParagraph"/>
        <w:numPr>
          <w:ilvl w:val="0"/>
          <w:numId w:val="11"/>
        </w:numPr>
        <w:spacing w:after="200" w:line="240" w:lineRule="auto"/>
        <w:rPr>
          <w:rFonts w:ascii="Times New Roman" w:eastAsia="Times New Roman" w:hAnsi="Times New Roman" w:cs="Times New Roman"/>
        </w:rPr>
      </w:pPr>
      <w:r w:rsidRPr="009C2A58">
        <w:rPr>
          <w:rFonts w:ascii="Times New Roman" w:eastAsia="Times New Roman" w:hAnsi="Times New Roman" w:cs="Times New Roman"/>
        </w:rPr>
        <w:t>Re-designing adjunct and new faculty orientation</w:t>
      </w:r>
    </w:p>
    <w:p w14:paraId="4486E3DD" w14:textId="77777777" w:rsidR="00935112" w:rsidRPr="009C2A58" w:rsidRDefault="00007B56" w:rsidP="009C2A58">
      <w:pPr>
        <w:pStyle w:val="ListParagraph"/>
        <w:numPr>
          <w:ilvl w:val="0"/>
          <w:numId w:val="11"/>
        </w:numPr>
        <w:spacing w:line="240" w:lineRule="auto"/>
        <w:rPr>
          <w:rFonts w:ascii="Times New Roman" w:eastAsia="Times New Roman" w:hAnsi="Times New Roman" w:cs="Times New Roman"/>
        </w:rPr>
      </w:pPr>
      <w:r w:rsidRPr="009C2A58">
        <w:rPr>
          <w:rFonts w:ascii="Times New Roman" w:eastAsia="Times New Roman" w:hAnsi="Times New Roman" w:cs="Times New Roman"/>
        </w:rPr>
        <w:t xml:space="preserve">Augmenting faculty understanding </w:t>
      </w:r>
      <w:r w:rsidR="00DE7C43" w:rsidRPr="009C2A58">
        <w:rPr>
          <w:rFonts w:ascii="Times New Roman" w:eastAsia="Times New Roman" w:hAnsi="Times New Roman" w:cs="Times New Roman"/>
        </w:rPr>
        <w:t xml:space="preserve">of </w:t>
      </w:r>
      <w:r w:rsidRPr="009C2A58">
        <w:rPr>
          <w:rFonts w:ascii="Times New Roman" w:eastAsia="Times New Roman" w:hAnsi="Times New Roman" w:cs="Times New Roman"/>
        </w:rPr>
        <w:t>student success and development</w:t>
      </w:r>
    </w:p>
    <w:p w14:paraId="05E0701A" w14:textId="77777777" w:rsidR="00935112" w:rsidRPr="009C2A58" w:rsidRDefault="00007B56" w:rsidP="009C2A58">
      <w:pPr>
        <w:pStyle w:val="ListParagraph"/>
        <w:numPr>
          <w:ilvl w:val="0"/>
          <w:numId w:val="11"/>
        </w:numPr>
        <w:spacing w:line="240" w:lineRule="auto"/>
        <w:rPr>
          <w:rFonts w:ascii="Times New Roman" w:eastAsia="Times New Roman" w:hAnsi="Times New Roman" w:cs="Times New Roman"/>
        </w:rPr>
      </w:pPr>
      <w:r w:rsidRPr="009C2A58">
        <w:rPr>
          <w:rFonts w:ascii="Times New Roman" w:eastAsia="Times New Roman" w:hAnsi="Times New Roman" w:cs="Times New Roman"/>
        </w:rPr>
        <w:t>Updating pedagogical practices</w:t>
      </w:r>
    </w:p>
    <w:p w14:paraId="0E394E9E" w14:textId="77777777" w:rsidR="00935112" w:rsidRPr="009C2A58" w:rsidRDefault="00007B56" w:rsidP="005F03B5">
      <w:pPr>
        <w:pStyle w:val="ListParagraph"/>
        <w:numPr>
          <w:ilvl w:val="0"/>
          <w:numId w:val="11"/>
        </w:numPr>
        <w:spacing w:line="240" w:lineRule="auto"/>
        <w:rPr>
          <w:rFonts w:ascii="Times New Roman" w:eastAsia="Times New Roman" w:hAnsi="Times New Roman" w:cs="Times New Roman"/>
        </w:rPr>
      </w:pPr>
      <w:r w:rsidRPr="009C2A58">
        <w:rPr>
          <w:rFonts w:ascii="Times New Roman" w:eastAsia="Times New Roman" w:hAnsi="Times New Roman" w:cs="Times New Roman"/>
        </w:rPr>
        <w:t>Helping faculty to further understand the importance of assessment and making data driven decisions</w:t>
      </w:r>
    </w:p>
    <w:p w14:paraId="4789CD94" w14:textId="77777777" w:rsidR="00935112" w:rsidRDefault="00007B56" w:rsidP="009C2A58">
      <w:pPr>
        <w:spacing w:after="200" w:line="240" w:lineRule="auto"/>
        <w:ind w:firstLine="720"/>
      </w:pPr>
      <w:r>
        <w:rPr>
          <w:rFonts w:ascii="Times New Roman" w:eastAsia="Times New Roman" w:hAnsi="Times New Roman" w:cs="Times New Roman"/>
        </w:rPr>
        <w:t xml:space="preserve">Perhaps what is most exciting is that the First-Year Gateway has sparked discussions regarding the development of experiential and integrative learning opportunities, and the will to </w:t>
      </w:r>
      <w:r w:rsidR="0072504E">
        <w:rPr>
          <w:rFonts w:ascii="Times New Roman" w:eastAsia="Times New Roman" w:hAnsi="Times New Roman" w:cs="Times New Roman"/>
        </w:rPr>
        <w:t>design an Upper-L</w:t>
      </w:r>
      <w:r>
        <w:rPr>
          <w:rFonts w:ascii="Times New Roman" w:eastAsia="Times New Roman" w:hAnsi="Times New Roman" w:cs="Times New Roman"/>
        </w:rPr>
        <w:t>evel Gateway experience for all Bryant University students.</w:t>
      </w:r>
    </w:p>
    <w:p w14:paraId="0CA079DD" w14:textId="77777777" w:rsidR="00C07EA2" w:rsidRDefault="00C07EA2" w:rsidP="00EA1E0C">
      <w:pPr>
        <w:spacing w:after="200"/>
        <w:jc w:val="center"/>
        <w:rPr>
          <w:rFonts w:ascii="Times New Roman" w:eastAsia="Times New Roman" w:hAnsi="Times New Roman" w:cs="Times New Roman"/>
          <w:b/>
          <w:sz w:val="24"/>
          <w:szCs w:val="24"/>
        </w:rPr>
      </w:pPr>
    </w:p>
    <w:p w14:paraId="036FD7A0" w14:textId="77777777" w:rsidR="009C2A58" w:rsidRDefault="009C2A58" w:rsidP="00EA1E0C">
      <w:pPr>
        <w:spacing w:after="200"/>
        <w:jc w:val="center"/>
        <w:rPr>
          <w:rFonts w:ascii="Times New Roman" w:eastAsia="Times New Roman" w:hAnsi="Times New Roman" w:cs="Times New Roman"/>
          <w:b/>
          <w:sz w:val="24"/>
          <w:szCs w:val="24"/>
        </w:rPr>
      </w:pPr>
    </w:p>
    <w:p w14:paraId="74AFBB69" w14:textId="77777777" w:rsidR="001930F4" w:rsidRDefault="001930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4B5A462" w14:textId="77777777" w:rsidR="00935112" w:rsidRDefault="00007B56" w:rsidP="009C2A58">
      <w:pPr>
        <w:spacing w:after="200"/>
        <w:rPr>
          <w:rFonts w:ascii="Times New Roman" w:eastAsia="Times New Roman" w:hAnsi="Times New Roman" w:cs="Times New Roman"/>
          <w:b/>
          <w:sz w:val="24"/>
          <w:szCs w:val="24"/>
        </w:rPr>
      </w:pPr>
      <w:r w:rsidRPr="00A701D8">
        <w:rPr>
          <w:rFonts w:ascii="Times New Roman" w:eastAsia="Times New Roman" w:hAnsi="Times New Roman" w:cs="Times New Roman"/>
          <w:b/>
          <w:sz w:val="24"/>
          <w:szCs w:val="24"/>
        </w:rPr>
        <w:lastRenderedPageBreak/>
        <w:t>References</w:t>
      </w:r>
    </w:p>
    <w:p w14:paraId="176FF32F" w14:textId="77777777" w:rsidR="000C204E" w:rsidRPr="004255C7" w:rsidRDefault="000C204E" w:rsidP="000C204E">
      <w:pPr>
        <w:spacing w:line="240" w:lineRule="auto"/>
        <w:rPr>
          <w:rFonts w:ascii="Times New Roman" w:hAnsi="Times New Roman" w:cs="Times New Roman"/>
        </w:rPr>
      </w:pPr>
      <w:r w:rsidRPr="004255C7">
        <w:rPr>
          <w:rFonts w:ascii="Times New Roman" w:hAnsi="Times New Roman" w:cs="Times New Roman"/>
        </w:rPr>
        <w:t xml:space="preserve">Association of American Colleges and Universities. </w:t>
      </w:r>
      <w:r w:rsidRPr="004255C7">
        <w:rPr>
          <w:rStyle w:val="Emphasis"/>
          <w:rFonts w:ascii="Times New Roman" w:hAnsi="Times New Roman" w:cs="Times New Roman"/>
          <w:color w:val="333333"/>
          <w:shd w:val="clear" w:color="auto" w:fill="FFFFFF"/>
        </w:rPr>
        <w:t xml:space="preserve">The LEAP vision for learning: Outcomes, practices, </w:t>
      </w:r>
      <w:r>
        <w:rPr>
          <w:rStyle w:val="Emphasis"/>
          <w:rFonts w:ascii="Times New Roman" w:hAnsi="Times New Roman" w:cs="Times New Roman"/>
          <w:color w:val="333333"/>
          <w:shd w:val="clear" w:color="auto" w:fill="FFFFFF"/>
        </w:rPr>
        <w:t xml:space="preserve">        </w:t>
      </w:r>
      <w:r w:rsidRPr="004255C7">
        <w:rPr>
          <w:rStyle w:val="Emphasis"/>
          <w:rFonts w:ascii="Times New Roman" w:hAnsi="Times New Roman" w:cs="Times New Roman"/>
          <w:color w:val="333333"/>
          <w:shd w:val="clear" w:color="auto" w:fill="FFFFFF"/>
        </w:rPr>
        <w:t>impact, and employers' views.</w:t>
      </w:r>
      <w:r w:rsidRPr="004255C7">
        <w:rPr>
          <w:rFonts w:ascii="Times New Roman" w:hAnsi="Times New Roman" w:cs="Times New Roman"/>
          <w:color w:val="333333"/>
          <w:shd w:val="clear" w:color="auto" w:fill="FFFFFF"/>
        </w:rPr>
        <w:t xml:space="preserve"> (2011). Washington, DC: Retrieved </w:t>
      </w:r>
      <w:r w:rsidRPr="00E91C4A">
        <w:rPr>
          <w:rFonts w:ascii="Times New Roman" w:hAnsi="Times New Roman" w:cs="Times New Roman"/>
          <w:color w:val="auto"/>
          <w:shd w:val="clear" w:color="auto" w:fill="FFFFFF"/>
        </w:rPr>
        <w:t xml:space="preserve">May </w:t>
      </w:r>
      <w:r w:rsidR="00E91C4A" w:rsidRPr="00E91C4A">
        <w:rPr>
          <w:rFonts w:ascii="Times New Roman" w:hAnsi="Times New Roman" w:cs="Times New Roman"/>
          <w:color w:val="auto"/>
          <w:shd w:val="clear" w:color="auto" w:fill="FFFFFF"/>
        </w:rPr>
        <w:t>2</w:t>
      </w:r>
      <w:r w:rsidRPr="00E91C4A">
        <w:rPr>
          <w:rFonts w:ascii="Times New Roman" w:hAnsi="Times New Roman" w:cs="Times New Roman"/>
          <w:color w:val="auto"/>
          <w:shd w:val="clear" w:color="auto" w:fill="FFFFFF"/>
        </w:rPr>
        <w:t xml:space="preserve">1, </w:t>
      </w:r>
      <w:r w:rsidR="00E91C4A" w:rsidRPr="00E91C4A">
        <w:rPr>
          <w:rFonts w:ascii="Times New Roman" w:hAnsi="Times New Roman" w:cs="Times New Roman"/>
          <w:color w:val="auto"/>
          <w:shd w:val="clear" w:color="auto" w:fill="FFFFFF"/>
        </w:rPr>
        <w:t>2011.</w:t>
      </w:r>
    </w:p>
    <w:p w14:paraId="3CD112AA" w14:textId="77777777" w:rsidR="00CB5D5B" w:rsidRPr="00CB5D5B" w:rsidRDefault="00F96BF2" w:rsidP="009C2A58">
      <w:pPr>
        <w:spacing w:line="240" w:lineRule="auto"/>
        <w:ind w:left="720" w:hanging="720"/>
        <w:rPr>
          <w:rFonts w:ascii="Times New Roman" w:hAnsi="Times New Roman" w:cs="Times New Roman"/>
          <w:color w:val="333333"/>
          <w:szCs w:val="22"/>
          <w:shd w:val="clear" w:color="auto" w:fill="FFFFFF"/>
        </w:rPr>
      </w:pPr>
      <w:r>
        <w:rPr>
          <w:rFonts w:ascii="Times New Roman" w:hAnsi="Times New Roman" w:cs="Times New Roman"/>
          <w:color w:val="333333"/>
          <w:szCs w:val="22"/>
          <w:shd w:val="clear" w:color="auto" w:fill="FFFFFF"/>
        </w:rPr>
        <w:t>Barr, R. B., &amp;</w:t>
      </w:r>
      <w:proofErr w:type="spellStart"/>
      <w:r>
        <w:rPr>
          <w:rFonts w:ascii="Times New Roman" w:hAnsi="Times New Roman" w:cs="Times New Roman"/>
          <w:color w:val="333333"/>
          <w:szCs w:val="22"/>
          <w:shd w:val="clear" w:color="auto" w:fill="FFFFFF"/>
        </w:rPr>
        <w:t>Tagg</w:t>
      </w:r>
      <w:proofErr w:type="spellEnd"/>
      <w:r>
        <w:rPr>
          <w:rFonts w:ascii="Times New Roman" w:hAnsi="Times New Roman" w:cs="Times New Roman"/>
          <w:color w:val="333333"/>
          <w:szCs w:val="22"/>
          <w:shd w:val="clear" w:color="auto" w:fill="FFFFFF"/>
        </w:rPr>
        <w:t>, J. (1995</w:t>
      </w:r>
      <w:r w:rsidR="00CB5D5B" w:rsidRPr="00CB5D5B">
        <w:rPr>
          <w:rFonts w:ascii="Times New Roman" w:hAnsi="Times New Roman" w:cs="Times New Roman"/>
          <w:color w:val="333333"/>
          <w:szCs w:val="22"/>
          <w:shd w:val="clear" w:color="auto" w:fill="FFFFFF"/>
        </w:rPr>
        <w:t>).</w:t>
      </w:r>
      <w:r w:rsidR="00CB5D5B" w:rsidRPr="00CB5D5B">
        <w:rPr>
          <w:rStyle w:val="apple-converted-space"/>
          <w:rFonts w:ascii="Times New Roman" w:hAnsi="Times New Roman" w:cs="Times New Roman"/>
          <w:color w:val="333333"/>
          <w:szCs w:val="22"/>
          <w:shd w:val="clear" w:color="auto" w:fill="FFFFFF"/>
        </w:rPr>
        <w:t> </w:t>
      </w:r>
      <w:r w:rsidRPr="00F96BF2">
        <w:rPr>
          <w:rStyle w:val="apple-converted-space"/>
          <w:rFonts w:ascii="Times New Roman" w:hAnsi="Times New Roman" w:cs="Times New Roman"/>
          <w:i/>
          <w:color w:val="333333"/>
          <w:szCs w:val="22"/>
          <w:shd w:val="clear" w:color="auto" w:fill="FFFFFF"/>
        </w:rPr>
        <w:t>From</w:t>
      </w:r>
      <w:r w:rsidR="00210684">
        <w:rPr>
          <w:rStyle w:val="apple-converted-space"/>
          <w:rFonts w:ascii="Times New Roman" w:hAnsi="Times New Roman" w:cs="Times New Roman"/>
          <w:i/>
          <w:color w:val="333333"/>
          <w:szCs w:val="22"/>
          <w:shd w:val="clear" w:color="auto" w:fill="FFFFFF"/>
        </w:rPr>
        <w:t xml:space="preserve"> t</w:t>
      </w:r>
      <w:r w:rsidR="00CB5D5B" w:rsidRPr="00CB5D5B">
        <w:rPr>
          <w:rFonts w:ascii="Times New Roman" w:hAnsi="Times New Roman" w:cs="Times New Roman"/>
          <w:i/>
          <w:iCs/>
          <w:color w:val="333333"/>
          <w:szCs w:val="22"/>
          <w:shd w:val="clear" w:color="auto" w:fill="FFFFFF"/>
        </w:rPr>
        <w:t xml:space="preserve">eaching to </w:t>
      </w:r>
      <w:r w:rsidR="00210684">
        <w:rPr>
          <w:rFonts w:ascii="Times New Roman" w:hAnsi="Times New Roman" w:cs="Times New Roman"/>
          <w:i/>
          <w:iCs/>
          <w:color w:val="333333"/>
          <w:szCs w:val="22"/>
          <w:shd w:val="clear" w:color="auto" w:fill="FFFFFF"/>
        </w:rPr>
        <w:t>learning: A new paradigm for undergraduate e</w:t>
      </w:r>
      <w:r w:rsidR="00CB5D5B" w:rsidRPr="00CB5D5B">
        <w:rPr>
          <w:rFonts w:ascii="Times New Roman" w:hAnsi="Times New Roman" w:cs="Times New Roman"/>
          <w:i/>
          <w:iCs/>
          <w:color w:val="333333"/>
          <w:szCs w:val="22"/>
          <w:shd w:val="clear" w:color="auto" w:fill="FFFFFF"/>
        </w:rPr>
        <w:t>ducation</w:t>
      </w:r>
      <w:r>
        <w:rPr>
          <w:rFonts w:ascii="Times New Roman" w:hAnsi="Times New Roman" w:cs="Times New Roman"/>
          <w:color w:val="333333"/>
          <w:szCs w:val="22"/>
          <w:shd w:val="clear" w:color="auto" w:fill="FFFFFF"/>
        </w:rPr>
        <w:t>. Change Magazine, November/December Issue.</w:t>
      </w:r>
    </w:p>
    <w:p w14:paraId="3BC5CD43" w14:textId="77777777" w:rsidR="008A1C32" w:rsidRDefault="00CB5D5B" w:rsidP="009C2A58">
      <w:pPr>
        <w:spacing w:line="240" w:lineRule="auto"/>
        <w:rPr>
          <w:rFonts w:ascii="Times New Roman" w:hAnsi="Times New Roman" w:cs="Times New Roman"/>
          <w:i/>
          <w:color w:val="333333"/>
          <w:szCs w:val="22"/>
          <w:shd w:val="clear" w:color="auto" w:fill="FFFFFF"/>
        </w:rPr>
      </w:pPr>
      <w:proofErr w:type="spellStart"/>
      <w:r w:rsidRPr="00210684">
        <w:rPr>
          <w:rFonts w:ascii="Times New Roman" w:hAnsi="Times New Roman" w:cs="Times New Roman"/>
          <w:color w:val="333333"/>
          <w:szCs w:val="22"/>
          <w:shd w:val="clear" w:color="auto" w:fill="FFFFFF"/>
        </w:rPr>
        <w:t>Blaich</w:t>
      </w:r>
      <w:proofErr w:type="spellEnd"/>
      <w:r w:rsidRPr="00210684">
        <w:rPr>
          <w:rFonts w:ascii="Times New Roman" w:hAnsi="Times New Roman" w:cs="Times New Roman"/>
          <w:color w:val="333333"/>
          <w:szCs w:val="22"/>
          <w:shd w:val="clear" w:color="auto" w:fill="FFFFFF"/>
        </w:rPr>
        <w:t xml:space="preserve">, C. &amp;Pascarella, E. T. (2013). </w:t>
      </w:r>
      <w:r w:rsidR="00210684">
        <w:rPr>
          <w:rFonts w:ascii="Times New Roman" w:hAnsi="Times New Roman" w:cs="Times New Roman"/>
          <w:i/>
          <w:color w:val="333333"/>
          <w:szCs w:val="22"/>
          <w:shd w:val="clear" w:color="auto" w:fill="FFFFFF"/>
        </w:rPr>
        <w:t xml:space="preserve">Lessons from the </w:t>
      </w:r>
      <w:proofErr w:type="spellStart"/>
      <w:r w:rsidR="002F3C8C">
        <w:rPr>
          <w:rFonts w:ascii="Times New Roman" w:hAnsi="Times New Roman" w:cs="Times New Roman"/>
          <w:i/>
          <w:color w:val="333333"/>
          <w:szCs w:val="22"/>
          <w:shd w:val="clear" w:color="auto" w:fill="FFFFFF"/>
        </w:rPr>
        <w:t>w</w:t>
      </w:r>
      <w:r w:rsidR="00961FB2" w:rsidRPr="00CB5D5B">
        <w:rPr>
          <w:rFonts w:ascii="Times New Roman" w:hAnsi="Times New Roman" w:cs="Times New Roman"/>
          <w:i/>
          <w:color w:val="333333"/>
          <w:szCs w:val="22"/>
          <w:shd w:val="clear" w:color="auto" w:fill="FFFFFF"/>
        </w:rPr>
        <w:t>abash</w:t>
      </w:r>
      <w:proofErr w:type="spellEnd"/>
      <w:r w:rsidR="00210684">
        <w:rPr>
          <w:rFonts w:ascii="Times New Roman" w:hAnsi="Times New Roman" w:cs="Times New Roman"/>
          <w:i/>
          <w:color w:val="333333"/>
          <w:szCs w:val="22"/>
          <w:shd w:val="clear" w:color="auto" w:fill="FFFFFF"/>
        </w:rPr>
        <w:t xml:space="preserve"> national study of liberal a</w:t>
      </w:r>
      <w:r w:rsidR="008A1C32">
        <w:rPr>
          <w:rFonts w:ascii="Times New Roman" w:hAnsi="Times New Roman" w:cs="Times New Roman"/>
          <w:i/>
          <w:color w:val="333333"/>
          <w:szCs w:val="22"/>
          <w:shd w:val="clear" w:color="auto" w:fill="FFFFFF"/>
        </w:rPr>
        <w:t>rts</w:t>
      </w:r>
    </w:p>
    <w:p w14:paraId="2E606473" w14:textId="77777777" w:rsidR="00CB5D5B" w:rsidRDefault="00210684" w:rsidP="009C2A58">
      <w:pPr>
        <w:spacing w:line="240" w:lineRule="auto"/>
        <w:ind w:firstLine="720"/>
        <w:rPr>
          <w:rFonts w:ascii="Times New Roman" w:hAnsi="Times New Roman" w:cs="Times New Roman"/>
          <w:color w:val="333333"/>
          <w:szCs w:val="22"/>
          <w:shd w:val="clear" w:color="auto" w:fill="FFFFFF"/>
        </w:rPr>
      </w:pPr>
      <w:r>
        <w:rPr>
          <w:rFonts w:ascii="Times New Roman" w:hAnsi="Times New Roman" w:cs="Times New Roman"/>
          <w:i/>
          <w:color w:val="333333"/>
          <w:szCs w:val="22"/>
          <w:shd w:val="clear" w:color="auto" w:fill="FFFFFF"/>
        </w:rPr>
        <w:t>e</w:t>
      </w:r>
      <w:r w:rsidR="00CB5D5B" w:rsidRPr="00CB5D5B">
        <w:rPr>
          <w:rFonts w:ascii="Times New Roman" w:hAnsi="Times New Roman" w:cs="Times New Roman"/>
          <w:i/>
          <w:color w:val="333333"/>
          <w:szCs w:val="22"/>
          <w:shd w:val="clear" w:color="auto" w:fill="FFFFFF"/>
        </w:rPr>
        <w:t>ducation.</w:t>
      </w:r>
      <w:r w:rsidR="00CB5D5B" w:rsidRPr="00CB5D5B">
        <w:rPr>
          <w:rStyle w:val="apple-converted-space"/>
          <w:rFonts w:ascii="Times New Roman" w:hAnsi="Times New Roman" w:cs="Times New Roman"/>
          <w:color w:val="333333"/>
          <w:szCs w:val="22"/>
          <w:shd w:val="clear" w:color="auto" w:fill="FFFFFF"/>
        </w:rPr>
        <w:t> </w:t>
      </w:r>
      <w:r w:rsidR="00CB5D5B" w:rsidRPr="00CB5D5B">
        <w:rPr>
          <w:rFonts w:ascii="Times New Roman" w:hAnsi="Times New Roman" w:cs="Times New Roman"/>
          <w:iCs/>
          <w:color w:val="333333"/>
          <w:szCs w:val="22"/>
          <w:shd w:val="clear" w:color="auto" w:fill="FFFFFF"/>
        </w:rPr>
        <w:t>The Magazine of Higher Learning</w:t>
      </w:r>
      <w:r w:rsidR="00CB5D5B" w:rsidRPr="00CB5D5B">
        <w:rPr>
          <w:rFonts w:ascii="Times New Roman" w:hAnsi="Times New Roman" w:cs="Times New Roman"/>
          <w:color w:val="333333"/>
          <w:szCs w:val="22"/>
          <w:shd w:val="clear" w:color="auto" w:fill="FFFFFF"/>
        </w:rPr>
        <w:t>,</w:t>
      </w:r>
      <w:r w:rsidR="00CB5D5B" w:rsidRPr="00CB5D5B">
        <w:rPr>
          <w:rStyle w:val="apple-converted-space"/>
          <w:rFonts w:ascii="Times New Roman" w:hAnsi="Times New Roman" w:cs="Times New Roman"/>
          <w:color w:val="333333"/>
          <w:szCs w:val="22"/>
          <w:shd w:val="clear" w:color="auto" w:fill="FFFFFF"/>
        </w:rPr>
        <w:t> </w:t>
      </w:r>
      <w:r w:rsidR="00CB5D5B" w:rsidRPr="00CB5D5B">
        <w:rPr>
          <w:rFonts w:ascii="Times New Roman" w:hAnsi="Times New Roman" w:cs="Times New Roman"/>
          <w:iCs/>
          <w:color w:val="333333"/>
          <w:szCs w:val="22"/>
          <w:shd w:val="clear" w:color="auto" w:fill="FFFFFF"/>
        </w:rPr>
        <w:t>vol. 45</w:t>
      </w:r>
      <w:r w:rsidR="00CB5D5B" w:rsidRPr="00CB5D5B">
        <w:rPr>
          <w:rFonts w:ascii="Times New Roman" w:hAnsi="Times New Roman" w:cs="Times New Roman"/>
          <w:color w:val="333333"/>
          <w:szCs w:val="22"/>
          <w:shd w:val="clear" w:color="auto" w:fill="FFFFFF"/>
        </w:rPr>
        <w:t>, 6-15.</w:t>
      </w:r>
    </w:p>
    <w:p w14:paraId="42FA52D7" w14:textId="77777777" w:rsidR="00CB5D5B" w:rsidRPr="00CB5D5B" w:rsidRDefault="00CB5D5B" w:rsidP="009C2A58">
      <w:pPr>
        <w:spacing w:line="240" w:lineRule="auto"/>
        <w:rPr>
          <w:rFonts w:ascii="Times New Roman" w:hAnsi="Times New Roman" w:cs="Times New Roman"/>
          <w:color w:val="333333"/>
          <w:szCs w:val="22"/>
          <w:shd w:val="clear" w:color="auto" w:fill="FFFFFF"/>
        </w:rPr>
      </w:pPr>
      <w:r w:rsidRPr="00CB5D5B">
        <w:rPr>
          <w:rFonts w:ascii="Times New Roman" w:hAnsi="Times New Roman" w:cs="Times New Roman"/>
          <w:color w:val="333333"/>
          <w:szCs w:val="22"/>
          <w:shd w:val="clear" w:color="auto" w:fill="FFFFFF"/>
        </w:rPr>
        <w:t>Chen, H. L., &amp; Light, T. P. (2010).</w:t>
      </w:r>
      <w:r w:rsidRPr="00CB5D5B">
        <w:rPr>
          <w:rStyle w:val="apple-converted-space"/>
          <w:rFonts w:ascii="Times New Roman" w:hAnsi="Times New Roman" w:cs="Times New Roman"/>
          <w:color w:val="333333"/>
          <w:szCs w:val="22"/>
          <w:shd w:val="clear" w:color="auto" w:fill="FFFFFF"/>
        </w:rPr>
        <w:t> </w:t>
      </w:r>
      <w:r w:rsidRPr="00CB5D5B">
        <w:rPr>
          <w:rFonts w:ascii="Times New Roman" w:hAnsi="Times New Roman" w:cs="Times New Roman"/>
          <w:i/>
          <w:iCs/>
          <w:color w:val="333333"/>
          <w:szCs w:val="22"/>
          <w:shd w:val="clear" w:color="auto" w:fill="FFFFFF"/>
        </w:rPr>
        <w:t xml:space="preserve">Electronic portfolios and student success: </w:t>
      </w:r>
      <w:r w:rsidR="00CD64A9">
        <w:rPr>
          <w:rFonts w:ascii="Times New Roman" w:hAnsi="Times New Roman" w:cs="Times New Roman"/>
          <w:i/>
          <w:iCs/>
          <w:color w:val="333333"/>
          <w:szCs w:val="22"/>
          <w:shd w:val="clear" w:color="auto" w:fill="FFFFFF"/>
        </w:rPr>
        <w:t>E</w:t>
      </w:r>
      <w:r w:rsidRPr="00CB5D5B">
        <w:rPr>
          <w:rFonts w:ascii="Times New Roman" w:hAnsi="Times New Roman" w:cs="Times New Roman"/>
          <w:i/>
          <w:iCs/>
          <w:color w:val="333333"/>
          <w:szCs w:val="22"/>
          <w:shd w:val="clear" w:color="auto" w:fill="FFFFFF"/>
        </w:rPr>
        <w:t xml:space="preserve">ffectiveness, </w:t>
      </w:r>
      <w:r w:rsidR="008A1C32">
        <w:rPr>
          <w:rFonts w:ascii="Times New Roman" w:hAnsi="Times New Roman" w:cs="Times New Roman"/>
          <w:i/>
          <w:iCs/>
          <w:color w:val="333333"/>
          <w:szCs w:val="22"/>
          <w:shd w:val="clear" w:color="auto" w:fill="FFFFFF"/>
        </w:rPr>
        <w:t>efficiency,</w:t>
      </w:r>
      <w:r w:rsidR="008A1C32">
        <w:rPr>
          <w:rFonts w:ascii="Times New Roman" w:hAnsi="Times New Roman" w:cs="Times New Roman"/>
          <w:i/>
          <w:iCs/>
          <w:color w:val="333333"/>
          <w:szCs w:val="22"/>
          <w:shd w:val="clear" w:color="auto" w:fill="FFFFFF"/>
        </w:rPr>
        <w:tab/>
      </w:r>
      <w:r w:rsidRPr="00CB5D5B">
        <w:rPr>
          <w:rFonts w:ascii="Times New Roman" w:hAnsi="Times New Roman" w:cs="Times New Roman"/>
          <w:i/>
          <w:iCs/>
          <w:color w:val="333333"/>
          <w:szCs w:val="22"/>
          <w:shd w:val="clear" w:color="auto" w:fill="FFFFFF"/>
        </w:rPr>
        <w:t>and learning</w:t>
      </w:r>
      <w:r w:rsidRPr="00CB5D5B">
        <w:rPr>
          <w:rFonts w:ascii="Times New Roman" w:hAnsi="Times New Roman" w:cs="Times New Roman"/>
          <w:color w:val="333333"/>
          <w:szCs w:val="22"/>
          <w:shd w:val="clear" w:color="auto" w:fill="FFFFFF"/>
        </w:rPr>
        <w:t>. Washington, D.C.: Association of American Colleges and Universities.</w:t>
      </w:r>
    </w:p>
    <w:p w14:paraId="1848CB63" w14:textId="77777777" w:rsidR="00CB5D5B" w:rsidRPr="008A1C32" w:rsidRDefault="00CB5D5B" w:rsidP="009C2A58">
      <w:pPr>
        <w:spacing w:line="240" w:lineRule="auto"/>
        <w:rPr>
          <w:rFonts w:ascii="Times New Roman" w:hAnsi="Times New Roman" w:cs="Times New Roman"/>
          <w:i/>
          <w:iCs/>
          <w:color w:val="333333"/>
          <w:szCs w:val="22"/>
          <w:shd w:val="clear" w:color="auto" w:fill="FFFFFF"/>
        </w:rPr>
      </w:pPr>
      <w:r w:rsidRPr="00CB5D5B">
        <w:rPr>
          <w:rFonts w:ascii="Times New Roman" w:hAnsi="Times New Roman" w:cs="Times New Roman"/>
          <w:color w:val="333333"/>
          <w:szCs w:val="22"/>
          <w:shd w:val="clear" w:color="auto" w:fill="FFFFFF"/>
        </w:rPr>
        <w:t xml:space="preserve">Colby, A., </w:t>
      </w:r>
      <w:proofErr w:type="spellStart"/>
      <w:r w:rsidRPr="00CB5D5B">
        <w:rPr>
          <w:rFonts w:ascii="Times New Roman" w:hAnsi="Times New Roman" w:cs="Times New Roman"/>
          <w:color w:val="333333"/>
          <w:szCs w:val="22"/>
          <w:shd w:val="clear" w:color="auto" w:fill="FFFFFF"/>
        </w:rPr>
        <w:t>Dolle</w:t>
      </w:r>
      <w:proofErr w:type="spellEnd"/>
      <w:r w:rsidRPr="00CB5D5B">
        <w:rPr>
          <w:rFonts w:ascii="Times New Roman" w:hAnsi="Times New Roman" w:cs="Times New Roman"/>
          <w:color w:val="333333"/>
          <w:szCs w:val="22"/>
          <w:shd w:val="clear" w:color="auto" w:fill="FFFFFF"/>
        </w:rPr>
        <w:t>, J. R., Ehrlich, T., &amp; Sullivan, W. M. (2011).</w:t>
      </w:r>
      <w:r w:rsidRPr="00CB5D5B">
        <w:rPr>
          <w:rStyle w:val="apple-converted-space"/>
          <w:rFonts w:ascii="Times New Roman" w:hAnsi="Times New Roman" w:cs="Times New Roman"/>
          <w:color w:val="333333"/>
          <w:szCs w:val="22"/>
          <w:shd w:val="clear" w:color="auto" w:fill="FFFFFF"/>
        </w:rPr>
        <w:t> </w:t>
      </w:r>
      <w:r w:rsidRPr="00CB5D5B">
        <w:rPr>
          <w:rFonts w:ascii="Times New Roman" w:hAnsi="Times New Roman" w:cs="Times New Roman"/>
          <w:i/>
          <w:iCs/>
          <w:color w:val="333333"/>
          <w:szCs w:val="22"/>
          <w:shd w:val="clear" w:color="auto" w:fill="FFFFFF"/>
        </w:rPr>
        <w:t xml:space="preserve">Rethinking </w:t>
      </w:r>
      <w:r w:rsidR="00210684">
        <w:rPr>
          <w:rFonts w:ascii="Times New Roman" w:hAnsi="Times New Roman" w:cs="Times New Roman"/>
          <w:i/>
          <w:iCs/>
          <w:color w:val="333333"/>
          <w:szCs w:val="22"/>
          <w:shd w:val="clear" w:color="auto" w:fill="FFFFFF"/>
        </w:rPr>
        <w:t>u</w:t>
      </w:r>
      <w:r w:rsidR="008A1C32">
        <w:rPr>
          <w:rFonts w:ascii="Times New Roman" w:hAnsi="Times New Roman" w:cs="Times New Roman"/>
          <w:i/>
          <w:iCs/>
          <w:color w:val="333333"/>
          <w:szCs w:val="22"/>
          <w:shd w:val="clear" w:color="auto" w:fill="FFFFFF"/>
        </w:rPr>
        <w:t xml:space="preserve">ndergraduate </w:t>
      </w:r>
      <w:r w:rsidR="00210684">
        <w:rPr>
          <w:rFonts w:ascii="Times New Roman" w:hAnsi="Times New Roman" w:cs="Times New Roman"/>
          <w:i/>
          <w:iCs/>
          <w:color w:val="333333"/>
          <w:szCs w:val="22"/>
          <w:shd w:val="clear" w:color="auto" w:fill="FFFFFF"/>
        </w:rPr>
        <w:t>b</w:t>
      </w:r>
      <w:r w:rsidR="008A1C32">
        <w:rPr>
          <w:rFonts w:ascii="Times New Roman" w:hAnsi="Times New Roman" w:cs="Times New Roman"/>
          <w:i/>
          <w:iCs/>
          <w:color w:val="333333"/>
          <w:szCs w:val="22"/>
          <w:shd w:val="clear" w:color="auto" w:fill="FFFFFF"/>
        </w:rPr>
        <w:t>usiness</w:t>
      </w:r>
      <w:r w:rsidR="008A1C32">
        <w:rPr>
          <w:rFonts w:ascii="Times New Roman" w:hAnsi="Times New Roman" w:cs="Times New Roman"/>
          <w:i/>
          <w:iCs/>
          <w:color w:val="333333"/>
          <w:szCs w:val="22"/>
          <w:shd w:val="clear" w:color="auto" w:fill="FFFFFF"/>
        </w:rPr>
        <w:tab/>
      </w:r>
      <w:r w:rsidR="00210684">
        <w:rPr>
          <w:rFonts w:ascii="Times New Roman" w:hAnsi="Times New Roman" w:cs="Times New Roman"/>
          <w:i/>
          <w:iCs/>
          <w:color w:val="333333"/>
          <w:szCs w:val="22"/>
          <w:shd w:val="clear" w:color="auto" w:fill="FFFFFF"/>
        </w:rPr>
        <w:t>e</w:t>
      </w:r>
      <w:r w:rsidR="00CD64A9">
        <w:rPr>
          <w:rFonts w:ascii="Times New Roman" w:hAnsi="Times New Roman" w:cs="Times New Roman"/>
          <w:i/>
          <w:iCs/>
          <w:color w:val="333333"/>
          <w:szCs w:val="22"/>
          <w:shd w:val="clear" w:color="auto" w:fill="FFFFFF"/>
        </w:rPr>
        <w:t>ducation: L</w:t>
      </w:r>
      <w:r w:rsidRPr="00CB5D5B">
        <w:rPr>
          <w:rFonts w:ascii="Times New Roman" w:hAnsi="Times New Roman" w:cs="Times New Roman"/>
          <w:i/>
          <w:iCs/>
          <w:color w:val="333333"/>
          <w:szCs w:val="22"/>
          <w:shd w:val="clear" w:color="auto" w:fill="FFFFFF"/>
        </w:rPr>
        <w:t xml:space="preserve">iberal </w:t>
      </w:r>
      <w:r w:rsidR="00210684">
        <w:rPr>
          <w:rFonts w:ascii="Times New Roman" w:hAnsi="Times New Roman" w:cs="Times New Roman"/>
          <w:i/>
          <w:iCs/>
          <w:color w:val="333333"/>
          <w:szCs w:val="22"/>
          <w:shd w:val="clear" w:color="auto" w:fill="FFFFFF"/>
        </w:rPr>
        <w:t>learning for the p</w:t>
      </w:r>
      <w:r w:rsidRPr="00CB5D5B">
        <w:rPr>
          <w:rFonts w:ascii="Times New Roman" w:hAnsi="Times New Roman" w:cs="Times New Roman"/>
          <w:i/>
          <w:iCs/>
          <w:color w:val="333333"/>
          <w:szCs w:val="22"/>
          <w:shd w:val="clear" w:color="auto" w:fill="FFFFFF"/>
        </w:rPr>
        <w:t>rofession</w:t>
      </w:r>
      <w:r w:rsidRPr="00CB5D5B">
        <w:rPr>
          <w:rFonts w:ascii="Times New Roman" w:hAnsi="Times New Roman" w:cs="Times New Roman"/>
          <w:color w:val="333333"/>
          <w:szCs w:val="22"/>
          <w:shd w:val="clear" w:color="auto" w:fill="FFFFFF"/>
        </w:rPr>
        <w:t>. San Francisco, CA: Jossey-Bass.</w:t>
      </w:r>
    </w:p>
    <w:p w14:paraId="3BAF612B" w14:textId="77777777" w:rsidR="00CB5D5B" w:rsidRPr="00CB5D5B" w:rsidRDefault="00CB5D5B" w:rsidP="009C2A58">
      <w:pPr>
        <w:spacing w:line="240" w:lineRule="auto"/>
        <w:rPr>
          <w:rFonts w:ascii="Times New Roman" w:hAnsi="Times New Roman" w:cs="Times New Roman"/>
          <w:color w:val="333333"/>
          <w:szCs w:val="22"/>
          <w:shd w:val="clear" w:color="auto" w:fill="FFFFFF"/>
        </w:rPr>
      </w:pPr>
      <w:r w:rsidRPr="00CB5D5B">
        <w:rPr>
          <w:rFonts w:ascii="Times New Roman" w:hAnsi="Times New Roman" w:cs="Times New Roman"/>
          <w:color w:val="333333"/>
          <w:szCs w:val="22"/>
          <w:shd w:val="clear" w:color="auto" w:fill="FFFFFF"/>
        </w:rPr>
        <w:t xml:space="preserve">Hart Research Associates. (2013). </w:t>
      </w:r>
      <w:r w:rsidR="00210684">
        <w:rPr>
          <w:rFonts w:ascii="Times New Roman" w:hAnsi="Times New Roman" w:cs="Times New Roman"/>
          <w:i/>
          <w:color w:val="333333"/>
          <w:szCs w:val="22"/>
          <w:shd w:val="clear" w:color="auto" w:fill="FFFFFF"/>
        </w:rPr>
        <w:t>It t</w:t>
      </w:r>
      <w:r w:rsidRPr="00210684">
        <w:rPr>
          <w:rFonts w:ascii="Times New Roman" w:hAnsi="Times New Roman" w:cs="Times New Roman"/>
          <w:i/>
          <w:color w:val="333333"/>
          <w:szCs w:val="22"/>
          <w:shd w:val="clear" w:color="auto" w:fill="FFFFFF"/>
        </w:rPr>
        <w:t xml:space="preserve">akes </w:t>
      </w:r>
      <w:r w:rsidR="00210684">
        <w:rPr>
          <w:rFonts w:ascii="Times New Roman" w:hAnsi="Times New Roman" w:cs="Times New Roman"/>
          <w:i/>
          <w:color w:val="333333"/>
          <w:szCs w:val="22"/>
          <w:shd w:val="clear" w:color="auto" w:fill="FFFFFF"/>
        </w:rPr>
        <w:t>m</w:t>
      </w:r>
      <w:r w:rsidRPr="00210684">
        <w:rPr>
          <w:rFonts w:ascii="Times New Roman" w:hAnsi="Times New Roman" w:cs="Times New Roman"/>
          <w:i/>
          <w:color w:val="333333"/>
          <w:szCs w:val="22"/>
          <w:shd w:val="clear" w:color="auto" w:fill="FFFFFF"/>
        </w:rPr>
        <w:t xml:space="preserve">ore </w:t>
      </w:r>
      <w:r w:rsidR="00210684">
        <w:rPr>
          <w:rFonts w:ascii="Times New Roman" w:hAnsi="Times New Roman" w:cs="Times New Roman"/>
          <w:i/>
          <w:color w:val="333333"/>
          <w:szCs w:val="22"/>
          <w:shd w:val="clear" w:color="auto" w:fill="FFFFFF"/>
        </w:rPr>
        <w:t>t</w:t>
      </w:r>
      <w:r w:rsidRPr="00210684">
        <w:rPr>
          <w:rFonts w:ascii="Times New Roman" w:hAnsi="Times New Roman" w:cs="Times New Roman"/>
          <w:i/>
          <w:color w:val="333333"/>
          <w:szCs w:val="22"/>
          <w:shd w:val="clear" w:color="auto" w:fill="FFFFFF"/>
        </w:rPr>
        <w:t xml:space="preserve">han a </w:t>
      </w:r>
      <w:r w:rsidR="00CD64A9">
        <w:rPr>
          <w:rFonts w:ascii="Times New Roman" w:hAnsi="Times New Roman" w:cs="Times New Roman"/>
          <w:i/>
          <w:color w:val="333333"/>
          <w:szCs w:val="22"/>
          <w:shd w:val="clear" w:color="auto" w:fill="FFFFFF"/>
        </w:rPr>
        <w:t>major: E</w:t>
      </w:r>
      <w:r w:rsidR="00210684">
        <w:rPr>
          <w:rFonts w:ascii="Times New Roman" w:hAnsi="Times New Roman" w:cs="Times New Roman"/>
          <w:i/>
          <w:color w:val="333333"/>
          <w:szCs w:val="22"/>
          <w:shd w:val="clear" w:color="auto" w:fill="FFFFFF"/>
        </w:rPr>
        <w:t>mployer p</w:t>
      </w:r>
      <w:r w:rsidRPr="00210684">
        <w:rPr>
          <w:rFonts w:ascii="Times New Roman" w:hAnsi="Times New Roman" w:cs="Times New Roman"/>
          <w:i/>
          <w:color w:val="333333"/>
          <w:szCs w:val="22"/>
          <w:shd w:val="clear" w:color="auto" w:fill="FFFFFF"/>
        </w:rPr>
        <w:t xml:space="preserve">riorities for </w:t>
      </w:r>
      <w:r w:rsidR="00210684">
        <w:rPr>
          <w:rFonts w:ascii="Times New Roman" w:hAnsi="Times New Roman" w:cs="Times New Roman"/>
          <w:i/>
          <w:color w:val="333333"/>
          <w:szCs w:val="22"/>
          <w:shd w:val="clear" w:color="auto" w:fill="FFFFFF"/>
        </w:rPr>
        <w:t>c</w:t>
      </w:r>
      <w:r w:rsidRPr="00210684">
        <w:rPr>
          <w:rFonts w:ascii="Times New Roman" w:hAnsi="Times New Roman" w:cs="Times New Roman"/>
          <w:i/>
          <w:color w:val="333333"/>
          <w:szCs w:val="22"/>
          <w:shd w:val="clear" w:color="auto" w:fill="FFFFFF"/>
        </w:rPr>
        <w:t xml:space="preserve">ollege </w:t>
      </w:r>
      <w:r w:rsidR="00210684">
        <w:rPr>
          <w:rFonts w:ascii="Times New Roman" w:hAnsi="Times New Roman" w:cs="Times New Roman"/>
          <w:i/>
          <w:color w:val="333333"/>
          <w:szCs w:val="22"/>
          <w:shd w:val="clear" w:color="auto" w:fill="FFFFFF"/>
        </w:rPr>
        <w:t>l</w:t>
      </w:r>
      <w:r w:rsidRPr="00210684">
        <w:rPr>
          <w:rFonts w:ascii="Times New Roman" w:hAnsi="Times New Roman" w:cs="Times New Roman"/>
          <w:i/>
          <w:color w:val="333333"/>
          <w:szCs w:val="22"/>
          <w:shd w:val="clear" w:color="auto" w:fill="FFFFFF"/>
        </w:rPr>
        <w:t>earn</w:t>
      </w:r>
      <w:r w:rsidR="00210684">
        <w:rPr>
          <w:rFonts w:ascii="Times New Roman" w:hAnsi="Times New Roman" w:cs="Times New Roman"/>
          <w:i/>
          <w:color w:val="333333"/>
          <w:szCs w:val="22"/>
          <w:shd w:val="clear" w:color="auto" w:fill="FFFFFF"/>
        </w:rPr>
        <w:t xml:space="preserve">ing </w:t>
      </w:r>
      <w:r w:rsidRPr="00210684">
        <w:rPr>
          <w:rFonts w:ascii="Times New Roman" w:hAnsi="Times New Roman" w:cs="Times New Roman"/>
          <w:i/>
          <w:color w:val="333333"/>
          <w:szCs w:val="22"/>
          <w:shd w:val="clear" w:color="auto" w:fill="FFFFFF"/>
        </w:rPr>
        <w:t xml:space="preserve">and </w:t>
      </w:r>
      <w:r w:rsidR="00210684">
        <w:rPr>
          <w:rFonts w:ascii="Times New Roman" w:hAnsi="Times New Roman" w:cs="Times New Roman"/>
          <w:i/>
          <w:color w:val="333333"/>
          <w:szCs w:val="22"/>
          <w:shd w:val="clear" w:color="auto" w:fill="FFFFFF"/>
        </w:rPr>
        <w:t>s</w:t>
      </w:r>
      <w:r w:rsidRPr="00210684">
        <w:rPr>
          <w:rFonts w:ascii="Times New Roman" w:hAnsi="Times New Roman" w:cs="Times New Roman"/>
          <w:i/>
          <w:color w:val="333333"/>
          <w:szCs w:val="22"/>
          <w:shd w:val="clear" w:color="auto" w:fill="FFFFFF"/>
        </w:rPr>
        <w:t xml:space="preserve">tudent </w:t>
      </w:r>
      <w:r w:rsidR="00210684">
        <w:rPr>
          <w:rFonts w:ascii="Times New Roman" w:hAnsi="Times New Roman" w:cs="Times New Roman"/>
          <w:i/>
          <w:color w:val="333333"/>
          <w:szCs w:val="22"/>
          <w:shd w:val="clear" w:color="auto" w:fill="FFFFFF"/>
        </w:rPr>
        <w:t>s</w:t>
      </w:r>
      <w:r w:rsidRPr="00210684">
        <w:rPr>
          <w:rFonts w:ascii="Times New Roman" w:hAnsi="Times New Roman" w:cs="Times New Roman"/>
          <w:i/>
          <w:color w:val="333333"/>
          <w:szCs w:val="22"/>
          <w:shd w:val="clear" w:color="auto" w:fill="FFFFFF"/>
        </w:rPr>
        <w:t>uccess</w:t>
      </w:r>
      <w:r>
        <w:rPr>
          <w:rFonts w:ascii="Times New Roman" w:hAnsi="Times New Roman" w:cs="Times New Roman"/>
          <w:color w:val="333333"/>
          <w:szCs w:val="22"/>
          <w:shd w:val="clear" w:color="auto" w:fill="FFFFFF"/>
        </w:rPr>
        <w:t>,</w:t>
      </w:r>
      <w:r w:rsidRPr="00CB5D5B">
        <w:rPr>
          <w:rStyle w:val="apple-converted-space"/>
          <w:rFonts w:ascii="Times New Roman" w:hAnsi="Times New Roman" w:cs="Times New Roman"/>
          <w:color w:val="333333"/>
          <w:szCs w:val="22"/>
          <w:shd w:val="clear" w:color="auto" w:fill="FFFFFF"/>
        </w:rPr>
        <w:t> </w:t>
      </w:r>
      <w:r w:rsidRPr="00CB5D5B">
        <w:rPr>
          <w:rFonts w:ascii="Times New Roman" w:hAnsi="Times New Roman" w:cs="Times New Roman"/>
          <w:i/>
          <w:iCs/>
          <w:color w:val="333333"/>
          <w:szCs w:val="22"/>
          <w:shd w:val="clear" w:color="auto" w:fill="FFFFFF"/>
        </w:rPr>
        <w:t>Vol. 99</w:t>
      </w:r>
      <w:r w:rsidRPr="00CB5D5B">
        <w:rPr>
          <w:rFonts w:ascii="Times New Roman" w:hAnsi="Times New Roman" w:cs="Times New Roman"/>
          <w:color w:val="333333"/>
          <w:szCs w:val="22"/>
          <w:shd w:val="clear" w:color="auto" w:fill="FFFFFF"/>
        </w:rPr>
        <w:t xml:space="preserve">. </w:t>
      </w:r>
    </w:p>
    <w:p w14:paraId="522F7E0B" w14:textId="77777777" w:rsidR="00CB5D5B" w:rsidRPr="00CB5D5B" w:rsidRDefault="00CB5D5B" w:rsidP="009C2A58">
      <w:pPr>
        <w:spacing w:line="240" w:lineRule="auto"/>
        <w:rPr>
          <w:rFonts w:ascii="Times New Roman" w:hAnsi="Times New Roman" w:cs="Times New Roman"/>
          <w:color w:val="333333"/>
          <w:szCs w:val="22"/>
          <w:shd w:val="clear" w:color="auto" w:fill="FFFFFF"/>
        </w:rPr>
      </w:pPr>
      <w:r w:rsidRPr="00CB5D5B">
        <w:rPr>
          <w:rFonts w:ascii="Times New Roman" w:hAnsi="Times New Roman" w:cs="Times New Roman"/>
          <w:color w:val="333333"/>
          <w:szCs w:val="22"/>
          <w:shd w:val="clear" w:color="auto" w:fill="FFFFFF"/>
        </w:rPr>
        <w:t>Hazard, L. (1997).</w:t>
      </w:r>
      <w:r w:rsidRPr="00CB5D5B">
        <w:rPr>
          <w:rStyle w:val="apple-converted-space"/>
          <w:rFonts w:ascii="Times New Roman" w:hAnsi="Times New Roman" w:cs="Times New Roman"/>
          <w:color w:val="333333"/>
          <w:szCs w:val="22"/>
          <w:shd w:val="clear" w:color="auto" w:fill="FFFFFF"/>
        </w:rPr>
        <w:t> </w:t>
      </w:r>
      <w:r w:rsidRPr="00CB5D5B">
        <w:rPr>
          <w:rFonts w:ascii="Times New Roman" w:hAnsi="Times New Roman" w:cs="Times New Roman"/>
          <w:i/>
          <w:iCs/>
          <w:color w:val="333333"/>
          <w:szCs w:val="22"/>
          <w:shd w:val="clear" w:color="auto" w:fill="FFFFFF"/>
        </w:rPr>
        <w:t xml:space="preserve">The </w:t>
      </w:r>
      <w:r w:rsidR="00210684">
        <w:rPr>
          <w:rFonts w:ascii="Times New Roman" w:hAnsi="Times New Roman" w:cs="Times New Roman"/>
          <w:i/>
          <w:iCs/>
          <w:color w:val="333333"/>
          <w:szCs w:val="22"/>
          <w:shd w:val="clear" w:color="auto" w:fill="FFFFFF"/>
        </w:rPr>
        <w:t>e</w:t>
      </w:r>
      <w:r w:rsidRPr="00CB5D5B">
        <w:rPr>
          <w:rFonts w:ascii="Times New Roman" w:hAnsi="Times New Roman" w:cs="Times New Roman"/>
          <w:i/>
          <w:iCs/>
          <w:color w:val="333333"/>
          <w:szCs w:val="22"/>
          <w:shd w:val="clear" w:color="auto" w:fill="FFFFFF"/>
        </w:rPr>
        <w:t xml:space="preserve">ffect of </w:t>
      </w:r>
      <w:r w:rsidR="00210684">
        <w:rPr>
          <w:rFonts w:ascii="Times New Roman" w:hAnsi="Times New Roman" w:cs="Times New Roman"/>
          <w:i/>
          <w:iCs/>
          <w:color w:val="333333"/>
          <w:szCs w:val="22"/>
          <w:shd w:val="clear" w:color="auto" w:fill="FFFFFF"/>
        </w:rPr>
        <w:t>l</w:t>
      </w:r>
      <w:r w:rsidRPr="00CB5D5B">
        <w:rPr>
          <w:rFonts w:ascii="Times New Roman" w:hAnsi="Times New Roman" w:cs="Times New Roman"/>
          <w:i/>
          <w:iCs/>
          <w:color w:val="333333"/>
          <w:szCs w:val="22"/>
          <w:shd w:val="clear" w:color="auto" w:fill="FFFFFF"/>
        </w:rPr>
        <w:t xml:space="preserve">ocus of </w:t>
      </w:r>
      <w:r w:rsidR="00210684">
        <w:rPr>
          <w:rFonts w:ascii="Times New Roman" w:hAnsi="Times New Roman" w:cs="Times New Roman"/>
          <w:i/>
          <w:iCs/>
          <w:color w:val="333333"/>
          <w:szCs w:val="22"/>
          <w:shd w:val="clear" w:color="auto" w:fill="FFFFFF"/>
        </w:rPr>
        <w:t>control and attitudes t</w:t>
      </w:r>
      <w:r w:rsidRPr="00CB5D5B">
        <w:rPr>
          <w:rFonts w:ascii="Times New Roman" w:hAnsi="Times New Roman" w:cs="Times New Roman"/>
          <w:i/>
          <w:iCs/>
          <w:color w:val="333333"/>
          <w:szCs w:val="22"/>
          <w:shd w:val="clear" w:color="auto" w:fill="FFFFFF"/>
        </w:rPr>
        <w:t>oward</w:t>
      </w:r>
      <w:r w:rsidR="00210684">
        <w:rPr>
          <w:rFonts w:ascii="Times New Roman" w:hAnsi="Times New Roman" w:cs="Times New Roman"/>
          <w:i/>
          <w:iCs/>
          <w:color w:val="333333"/>
          <w:szCs w:val="22"/>
          <w:shd w:val="clear" w:color="auto" w:fill="FFFFFF"/>
        </w:rPr>
        <w:t xml:space="preserve"> i</w:t>
      </w:r>
      <w:r w:rsidR="008A1C32">
        <w:rPr>
          <w:rFonts w:ascii="Times New Roman" w:hAnsi="Times New Roman" w:cs="Times New Roman"/>
          <w:i/>
          <w:iCs/>
          <w:color w:val="333333"/>
          <w:szCs w:val="22"/>
          <w:shd w:val="clear" w:color="auto" w:fill="FFFFFF"/>
        </w:rPr>
        <w:t xml:space="preserve">ntelligence </w:t>
      </w:r>
      <w:r w:rsidR="00210684">
        <w:rPr>
          <w:rFonts w:ascii="Times New Roman" w:hAnsi="Times New Roman" w:cs="Times New Roman"/>
          <w:i/>
          <w:iCs/>
          <w:color w:val="333333"/>
          <w:szCs w:val="22"/>
          <w:shd w:val="clear" w:color="auto" w:fill="FFFFFF"/>
        </w:rPr>
        <w:t>o</w:t>
      </w:r>
      <w:r w:rsidR="008A1C32">
        <w:rPr>
          <w:rFonts w:ascii="Times New Roman" w:hAnsi="Times New Roman" w:cs="Times New Roman"/>
          <w:i/>
          <w:iCs/>
          <w:color w:val="333333"/>
          <w:szCs w:val="22"/>
          <w:shd w:val="clear" w:color="auto" w:fill="FFFFFF"/>
        </w:rPr>
        <w:t xml:space="preserve">n </w:t>
      </w:r>
      <w:r w:rsidR="00210684">
        <w:rPr>
          <w:rFonts w:ascii="Times New Roman" w:hAnsi="Times New Roman" w:cs="Times New Roman"/>
          <w:i/>
          <w:iCs/>
          <w:color w:val="333333"/>
          <w:szCs w:val="22"/>
          <w:shd w:val="clear" w:color="auto" w:fill="FFFFFF"/>
        </w:rPr>
        <w:t>study h</w:t>
      </w:r>
      <w:r w:rsidR="008A1C32">
        <w:rPr>
          <w:rFonts w:ascii="Times New Roman" w:hAnsi="Times New Roman" w:cs="Times New Roman"/>
          <w:i/>
          <w:iCs/>
          <w:color w:val="333333"/>
          <w:szCs w:val="22"/>
          <w:shd w:val="clear" w:color="auto" w:fill="FFFFFF"/>
        </w:rPr>
        <w:t>abits of</w:t>
      </w:r>
      <w:r w:rsidR="008A1C32">
        <w:rPr>
          <w:rFonts w:ascii="Times New Roman" w:hAnsi="Times New Roman" w:cs="Times New Roman"/>
          <w:i/>
          <w:iCs/>
          <w:color w:val="333333"/>
          <w:szCs w:val="22"/>
          <w:shd w:val="clear" w:color="auto" w:fill="FFFFFF"/>
        </w:rPr>
        <w:tab/>
      </w:r>
      <w:r w:rsidR="00210684">
        <w:rPr>
          <w:rFonts w:ascii="Times New Roman" w:hAnsi="Times New Roman" w:cs="Times New Roman"/>
          <w:i/>
          <w:iCs/>
          <w:color w:val="333333"/>
          <w:szCs w:val="22"/>
          <w:shd w:val="clear" w:color="auto" w:fill="FFFFFF"/>
        </w:rPr>
        <w:t>c</w:t>
      </w:r>
      <w:r w:rsidRPr="00CB5D5B">
        <w:rPr>
          <w:rFonts w:ascii="Times New Roman" w:hAnsi="Times New Roman" w:cs="Times New Roman"/>
          <w:i/>
          <w:iCs/>
          <w:color w:val="333333"/>
          <w:szCs w:val="22"/>
          <w:shd w:val="clear" w:color="auto" w:fill="FFFFFF"/>
        </w:rPr>
        <w:t xml:space="preserve">ollege </w:t>
      </w:r>
      <w:r w:rsidR="00210684">
        <w:rPr>
          <w:rFonts w:ascii="Times New Roman" w:hAnsi="Times New Roman" w:cs="Times New Roman"/>
          <w:i/>
          <w:iCs/>
          <w:color w:val="333333"/>
          <w:szCs w:val="22"/>
          <w:shd w:val="clear" w:color="auto" w:fill="FFFFFF"/>
        </w:rPr>
        <w:t>s</w:t>
      </w:r>
      <w:r w:rsidRPr="00CB5D5B">
        <w:rPr>
          <w:rFonts w:ascii="Times New Roman" w:hAnsi="Times New Roman" w:cs="Times New Roman"/>
          <w:i/>
          <w:iCs/>
          <w:color w:val="333333"/>
          <w:szCs w:val="22"/>
          <w:shd w:val="clear" w:color="auto" w:fill="FFFFFF"/>
        </w:rPr>
        <w:t>tudents</w:t>
      </w:r>
      <w:r w:rsidRPr="00CB5D5B">
        <w:rPr>
          <w:rFonts w:ascii="Times New Roman" w:hAnsi="Times New Roman" w:cs="Times New Roman"/>
          <w:color w:val="333333"/>
          <w:szCs w:val="22"/>
          <w:shd w:val="clear" w:color="auto" w:fill="FFFFFF"/>
        </w:rPr>
        <w:t>. Michigan: UMI.</w:t>
      </w:r>
    </w:p>
    <w:p w14:paraId="03035A85" w14:textId="77777777" w:rsidR="00181866" w:rsidRPr="00181866" w:rsidRDefault="00181866" w:rsidP="009C2A58">
      <w:pPr>
        <w:spacing w:line="240" w:lineRule="auto"/>
        <w:ind w:left="720" w:hanging="720"/>
        <w:rPr>
          <w:rFonts w:ascii="Times New Roman" w:hAnsi="Times New Roman" w:cs="Times New Roman"/>
          <w:color w:val="333333"/>
          <w:szCs w:val="22"/>
          <w:shd w:val="clear" w:color="auto" w:fill="FFFFFF"/>
        </w:rPr>
      </w:pPr>
      <w:r w:rsidRPr="00181866">
        <w:rPr>
          <w:rFonts w:ascii="Times New Roman" w:hAnsi="Times New Roman" w:cs="Times New Roman"/>
          <w:szCs w:val="22"/>
        </w:rPr>
        <w:t xml:space="preserve">Hazard, L. and Nadeau, J. (2012). </w:t>
      </w:r>
      <w:r w:rsidRPr="00181866">
        <w:rPr>
          <w:rFonts w:ascii="Times New Roman" w:hAnsi="Times New Roman" w:cs="Times New Roman"/>
          <w:i/>
          <w:iCs/>
          <w:szCs w:val="22"/>
        </w:rPr>
        <w:t xml:space="preserve">Foundations for </w:t>
      </w:r>
      <w:r w:rsidR="00210684">
        <w:rPr>
          <w:rFonts w:ascii="Times New Roman" w:hAnsi="Times New Roman" w:cs="Times New Roman"/>
          <w:i/>
          <w:iCs/>
          <w:szCs w:val="22"/>
        </w:rPr>
        <w:t>l</w:t>
      </w:r>
      <w:r w:rsidRPr="00181866">
        <w:rPr>
          <w:rFonts w:ascii="Times New Roman" w:hAnsi="Times New Roman" w:cs="Times New Roman"/>
          <w:i/>
          <w:iCs/>
          <w:szCs w:val="22"/>
        </w:rPr>
        <w:t xml:space="preserve">earning, </w:t>
      </w:r>
      <w:r w:rsidR="00210684">
        <w:rPr>
          <w:rFonts w:ascii="Times New Roman" w:hAnsi="Times New Roman" w:cs="Times New Roman"/>
          <w:i/>
          <w:iCs/>
          <w:szCs w:val="22"/>
        </w:rPr>
        <w:t>t</w:t>
      </w:r>
      <w:r w:rsidRPr="00181866">
        <w:rPr>
          <w:rFonts w:ascii="Times New Roman" w:hAnsi="Times New Roman" w:cs="Times New Roman"/>
          <w:i/>
          <w:iCs/>
          <w:szCs w:val="22"/>
        </w:rPr>
        <w:t xml:space="preserve">hird </w:t>
      </w:r>
      <w:r w:rsidR="00210684">
        <w:rPr>
          <w:rFonts w:ascii="Times New Roman" w:hAnsi="Times New Roman" w:cs="Times New Roman"/>
          <w:i/>
          <w:iCs/>
          <w:szCs w:val="22"/>
        </w:rPr>
        <w:t>e</w:t>
      </w:r>
      <w:r w:rsidRPr="00181866">
        <w:rPr>
          <w:rFonts w:ascii="Times New Roman" w:hAnsi="Times New Roman" w:cs="Times New Roman"/>
          <w:i/>
          <w:iCs/>
          <w:szCs w:val="22"/>
        </w:rPr>
        <w:t xml:space="preserve">dition, </w:t>
      </w:r>
      <w:r w:rsidRPr="00181866">
        <w:rPr>
          <w:rFonts w:ascii="Times New Roman" w:hAnsi="Times New Roman" w:cs="Times New Roman"/>
          <w:iCs/>
          <w:szCs w:val="22"/>
        </w:rPr>
        <w:t xml:space="preserve">Upper Saddle River, New Jersey: </w:t>
      </w:r>
      <w:r w:rsidRPr="00181866">
        <w:rPr>
          <w:rFonts w:ascii="Times New Roman" w:hAnsi="Times New Roman" w:cs="Times New Roman"/>
          <w:szCs w:val="22"/>
        </w:rPr>
        <w:t>Prentice-Hall.</w:t>
      </w:r>
    </w:p>
    <w:p w14:paraId="32B450B9" w14:textId="77777777" w:rsidR="00CB5D5B" w:rsidRPr="00CB5D5B" w:rsidRDefault="00CB5D5B" w:rsidP="009C2A58">
      <w:pPr>
        <w:spacing w:line="240" w:lineRule="auto"/>
        <w:rPr>
          <w:rFonts w:ascii="Times New Roman" w:hAnsi="Times New Roman" w:cs="Times New Roman"/>
          <w:color w:val="auto"/>
          <w:szCs w:val="22"/>
          <w:shd w:val="clear" w:color="auto" w:fill="FFFFFF"/>
        </w:rPr>
      </w:pPr>
      <w:proofErr w:type="spellStart"/>
      <w:r w:rsidRPr="00CB5D5B">
        <w:rPr>
          <w:rFonts w:ascii="Times New Roman" w:hAnsi="Times New Roman" w:cs="Times New Roman"/>
          <w:color w:val="333333"/>
          <w:szCs w:val="22"/>
          <w:shd w:val="clear" w:color="auto" w:fill="FFFFFF"/>
        </w:rPr>
        <w:t>Huie</w:t>
      </w:r>
      <w:proofErr w:type="spellEnd"/>
      <w:r w:rsidRPr="00CB5D5B">
        <w:rPr>
          <w:rFonts w:ascii="Times New Roman" w:hAnsi="Times New Roman" w:cs="Times New Roman"/>
          <w:color w:val="333333"/>
          <w:szCs w:val="22"/>
          <w:shd w:val="clear" w:color="auto" w:fill="FFFFFF"/>
        </w:rPr>
        <w:t xml:space="preserve">, F., </w:t>
      </w:r>
      <w:proofErr w:type="spellStart"/>
      <w:r w:rsidRPr="00CB5D5B">
        <w:rPr>
          <w:rFonts w:ascii="Times New Roman" w:hAnsi="Times New Roman" w:cs="Times New Roman"/>
          <w:color w:val="333333"/>
          <w:szCs w:val="22"/>
          <w:shd w:val="clear" w:color="auto" w:fill="FFFFFF"/>
        </w:rPr>
        <w:t>Kitsantas</w:t>
      </w:r>
      <w:proofErr w:type="spellEnd"/>
      <w:r w:rsidRPr="00CB5D5B">
        <w:rPr>
          <w:rFonts w:ascii="Times New Roman" w:hAnsi="Times New Roman" w:cs="Times New Roman"/>
          <w:color w:val="333333"/>
          <w:szCs w:val="22"/>
          <w:shd w:val="clear" w:color="auto" w:fill="FFFFFF"/>
        </w:rPr>
        <w:t>, A., &amp;</w:t>
      </w:r>
      <w:proofErr w:type="spellStart"/>
      <w:r w:rsidRPr="00CB5D5B">
        <w:rPr>
          <w:rFonts w:ascii="Times New Roman" w:hAnsi="Times New Roman" w:cs="Times New Roman"/>
          <w:color w:val="333333"/>
          <w:szCs w:val="22"/>
          <w:shd w:val="clear" w:color="auto" w:fill="FFFFFF"/>
        </w:rPr>
        <w:t>Winsler</w:t>
      </w:r>
      <w:proofErr w:type="spellEnd"/>
      <w:r w:rsidRPr="00CB5D5B">
        <w:rPr>
          <w:rFonts w:ascii="Times New Roman" w:hAnsi="Times New Roman" w:cs="Times New Roman"/>
          <w:color w:val="333333"/>
          <w:szCs w:val="22"/>
          <w:shd w:val="clear" w:color="auto" w:fill="FFFFFF"/>
        </w:rPr>
        <w:t>, (2008)</w:t>
      </w:r>
      <w:r w:rsidR="00210684">
        <w:rPr>
          <w:rFonts w:ascii="Times New Roman" w:hAnsi="Times New Roman" w:cs="Times New Roman"/>
          <w:color w:val="333333"/>
          <w:szCs w:val="22"/>
          <w:shd w:val="clear" w:color="auto" w:fill="FFFFFF"/>
        </w:rPr>
        <w:t xml:space="preserve">. </w:t>
      </w:r>
      <w:r w:rsidR="00210684">
        <w:rPr>
          <w:rFonts w:ascii="Times New Roman" w:hAnsi="Times New Roman" w:cs="Times New Roman"/>
          <w:i/>
          <w:color w:val="333333"/>
          <w:szCs w:val="22"/>
          <w:shd w:val="clear" w:color="auto" w:fill="FFFFFF"/>
        </w:rPr>
        <w:t>A s</w:t>
      </w:r>
      <w:r w:rsidRPr="00CB5D5B">
        <w:rPr>
          <w:rFonts w:ascii="Times New Roman" w:hAnsi="Times New Roman" w:cs="Times New Roman"/>
          <w:i/>
          <w:color w:val="333333"/>
          <w:szCs w:val="22"/>
          <w:shd w:val="clear" w:color="auto" w:fill="FFFFFF"/>
        </w:rPr>
        <w:t xml:space="preserve">elf-regulation and </w:t>
      </w:r>
      <w:r w:rsidR="00210684">
        <w:rPr>
          <w:rFonts w:ascii="Times New Roman" w:hAnsi="Times New Roman" w:cs="Times New Roman"/>
          <w:i/>
          <w:color w:val="333333"/>
          <w:szCs w:val="22"/>
          <w:shd w:val="clear" w:color="auto" w:fill="FFFFFF"/>
        </w:rPr>
        <w:t>a</w:t>
      </w:r>
      <w:r w:rsidRPr="00CB5D5B">
        <w:rPr>
          <w:rFonts w:ascii="Times New Roman" w:hAnsi="Times New Roman" w:cs="Times New Roman"/>
          <w:i/>
          <w:color w:val="333333"/>
          <w:szCs w:val="22"/>
          <w:shd w:val="clear" w:color="auto" w:fill="FFFFFF"/>
        </w:rPr>
        <w:t>bility</w:t>
      </w:r>
      <w:r w:rsidR="00210684">
        <w:rPr>
          <w:rFonts w:ascii="Times New Roman" w:hAnsi="Times New Roman" w:cs="Times New Roman"/>
          <w:i/>
          <w:color w:val="333333"/>
          <w:szCs w:val="22"/>
          <w:shd w:val="clear" w:color="auto" w:fill="FFFFFF"/>
        </w:rPr>
        <w:t xml:space="preserve"> p</w:t>
      </w:r>
      <w:r w:rsidR="008A1C32">
        <w:rPr>
          <w:rFonts w:ascii="Times New Roman" w:hAnsi="Times New Roman" w:cs="Times New Roman"/>
          <w:i/>
          <w:color w:val="333333"/>
          <w:szCs w:val="22"/>
          <w:shd w:val="clear" w:color="auto" w:fill="FFFFFF"/>
        </w:rPr>
        <w:t xml:space="preserve">redictors of </w:t>
      </w:r>
      <w:r w:rsidR="00210684">
        <w:rPr>
          <w:rFonts w:ascii="Times New Roman" w:hAnsi="Times New Roman" w:cs="Times New Roman"/>
          <w:i/>
          <w:color w:val="333333"/>
          <w:szCs w:val="22"/>
          <w:shd w:val="clear" w:color="auto" w:fill="FFFFFF"/>
        </w:rPr>
        <w:t>a</w:t>
      </w:r>
      <w:r w:rsidR="008A1C32">
        <w:rPr>
          <w:rFonts w:ascii="Times New Roman" w:hAnsi="Times New Roman" w:cs="Times New Roman"/>
          <w:i/>
          <w:color w:val="333333"/>
          <w:szCs w:val="22"/>
          <w:shd w:val="clear" w:color="auto" w:fill="FFFFFF"/>
        </w:rPr>
        <w:t xml:space="preserve">cademic </w:t>
      </w:r>
      <w:r w:rsidR="00210684">
        <w:rPr>
          <w:rFonts w:ascii="Times New Roman" w:hAnsi="Times New Roman" w:cs="Times New Roman"/>
          <w:i/>
          <w:color w:val="333333"/>
          <w:szCs w:val="22"/>
          <w:shd w:val="clear" w:color="auto" w:fill="FFFFFF"/>
        </w:rPr>
        <w:t>s</w:t>
      </w:r>
      <w:r w:rsidR="008A1C32">
        <w:rPr>
          <w:rFonts w:ascii="Times New Roman" w:hAnsi="Times New Roman" w:cs="Times New Roman"/>
          <w:i/>
          <w:color w:val="333333"/>
          <w:szCs w:val="22"/>
          <w:shd w:val="clear" w:color="auto" w:fill="FFFFFF"/>
        </w:rPr>
        <w:t>uccess</w:t>
      </w:r>
      <w:r w:rsidR="008A1C32">
        <w:rPr>
          <w:rFonts w:ascii="Times New Roman" w:hAnsi="Times New Roman" w:cs="Times New Roman"/>
          <w:i/>
          <w:color w:val="333333"/>
          <w:szCs w:val="22"/>
          <w:shd w:val="clear" w:color="auto" w:fill="FFFFFF"/>
        </w:rPr>
        <w:tab/>
      </w:r>
      <w:r w:rsidR="002F3C8C">
        <w:rPr>
          <w:rFonts w:ascii="Times New Roman" w:hAnsi="Times New Roman" w:cs="Times New Roman"/>
          <w:i/>
          <w:color w:val="333333"/>
          <w:szCs w:val="22"/>
          <w:shd w:val="clear" w:color="auto" w:fill="FFFFFF"/>
        </w:rPr>
        <w:t>during college: a</w:t>
      </w:r>
      <w:r w:rsidR="00210684">
        <w:rPr>
          <w:rFonts w:ascii="Times New Roman" w:hAnsi="Times New Roman" w:cs="Times New Roman"/>
          <w:i/>
          <w:color w:val="333333"/>
          <w:szCs w:val="22"/>
          <w:shd w:val="clear" w:color="auto" w:fill="FFFFFF"/>
        </w:rPr>
        <w:t xml:space="preserve"> p</w:t>
      </w:r>
      <w:r w:rsidRPr="00CB5D5B">
        <w:rPr>
          <w:rFonts w:ascii="Times New Roman" w:hAnsi="Times New Roman" w:cs="Times New Roman"/>
          <w:i/>
          <w:color w:val="333333"/>
          <w:szCs w:val="22"/>
          <w:shd w:val="clear" w:color="auto" w:fill="FFFFFF"/>
        </w:rPr>
        <w:t xml:space="preserve">redictive </w:t>
      </w:r>
      <w:r w:rsidR="00210684">
        <w:rPr>
          <w:rFonts w:ascii="Times New Roman" w:hAnsi="Times New Roman" w:cs="Times New Roman"/>
          <w:i/>
          <w:color w:val="333333"/>
          <w:szCs w:val="22"/>
          <w:shd w:val="clear" w:color="auto" w:fill="FFFFFF"/>
        </w:rPr>
        <w:t>v</w:t>
      </w:r>
      <w:r w:rsidRPr="00CB5D5B">
        <w:rPr>
          <w:rFonts w:ascii="Times New Roman" w:hAnsi="Times New Roman" w:cs="Times New Roman"/>
          <w:i/>
          <w:color w:val="333333"/>
          <w:szCs w:val="22"/>
          <w:shd w:val="clear" w:color="auto" w:fill="FFFFFF"/>
        </w:rPr>
        <w:t xml:space="preserve">alidity </w:t>
      </w:r>
      <w:r w:rsidR="00210684">
        <w:rPr>
          <w:rFonts w:ascii="Times New Roman" w:hAnsi="Times New Roman" w:cs="Times New Roman"/>
          <w:i/>
          <w:color w:val="333333"/>
          <w:szCs w:val="22"/>
          <w:shd w:val="clear" w:color="auto" w:fill="FFFFFF"/>
        </w:rPr>
        <w:t>s</w:t>
      </w:r>
      <w:r w:rsidRPr="00CB5D5B">
        <w:rPr>
          <w:rFonts w:ascii="Times New Roman" w:hAnsi="Times New Roman" w:cs="Times New Roman"/>
          <w:i/>
          <w:color w:val="333333"/>
          <w:szCs w:val="22"/>
          <w:shd w:val="clear" w:color="auto" w:fill="FFFFFF"/>
        </w:rPr>
        <w:t>tudy</w:t>
      </w:r>
      <w:r w:rsidRPr="00CB5D5B">
        <w:rPr>
          <w:rFonts w:ascii="Times New Roman" w:hAnsi="Times New Roman" w:cs="Times New Roman"/>
          <w:color w:val="333333"/>
          <w:szCs w:val="22"/>
          <w:shd w:val="clear" w:color="auto" w:fill="FFFFFF"/>
        </w:rPr>
        <w:t xml:space="preserve">. </w:t>
      </w:r>
      <w:r>
        <w:rPr>
          <w:rFonts w:ascii="Times New Roman" w:hAnsi="Times New Roman" w:cs="Times New Roman"/>
          <w:color w:val="333333"/>
          <w:szCs w:val="22"/>
          <w:shd w:val="clear" w:color="auto" w:fill="FFFFFF"/>
        </w:rPr>
        <w:t xml:space="preserve">The Journal of Advanced Academics, </w:t>
      </w:r>
      <w:r w:rsidRPr="00CB5D5B">
        <w:rPr>
          <w:rFonts w:ascii="Times New Roman" w:hAnsi="Times New Roman" w:cs="Times New Roman"/>
          <w:iCs/>
          <w:color w:val="333333"/>
          <w:szCs w:val="22"/>
          <w:shd w:val="clear" w:color="auto" w:fill="FFFFFF"/>
        </w:rPr>
        <w:t>Vol. 20</w:t>
      </w:r>
      <w:r w:rsidR="008A1C32">
        <w:rPr>
          <w:rFonts w:ascii="Times New Roman" w:hAnsi="Times New Roman" w:cs="Times New Roman"/>
          <w:color w:val="333333"/>
          <w:szCs w:val="22"/>
          <w:shd w:val="clear" w:color="auto" w:fill="FFFFFF"/>
        </w:rPr>
        <w:t>, 42</w:t>
      </w:r>
      <w:r w:rsidR="008A1C32">
        <w:rPr>
          <w:rFonts w:ascii="Times New Roman" w:hAnsi="Times New Roman" w:cs="Times New Roman"/>
          <w:color w:val="333333"/>
          <w:szCs w:val="22"/>
          <w:shd w:val="clear" w:color="auto" w:fill="FFFFFF"/>
        </w:rPr>
        <w:tab/>
      </w:r>
      <w:r w:rsidRPr="00CB5D5B">
        <w:rPr>
          <w:rFonts w:ascii="Times New Roman" w:hAnsi="Times New Roman" w:cs="Times New Roman"/>
          <w:color w:val="333333"/>
          <w:szCs w:val="22"/>
          <w:shd w:val="clear" w:color="auto" w:fill="FFFFFF"/>
        </w:rPr>
        <w:t>68.</w:t>
      </w:r>
    </w:p>
    <w:p w14:paraId="4A8989B9" w14:textId="77777777" w:rsidR="00CB5D5B" w:rsidRPr="00CB5D5B" w:rsidRDefault="00CB5D5B" w:rsidP="009C2A58">
      <w:pPr>
        <w:spacing w:line="240" w:lineRule="auto"/>
        <w:rPr>
          <w:rFonts w:ascii="Times New Roman" w:hAnsi="Times New Roman" w:cs="Times New Roman"/>
          <w:color w:val="333333"/>
          <w:szCs w:val="22"/>
          <w:shd w:val="clear" w:color="auto" w:fill="FFFFFF"/>
        </w:rPr>
      </w:pPr>
      <w:proofErr w:type="spellStart"/>
      <w:r w:rsidRPr="00CB5D5B">
        <w:rPr>
          <w:rFonts w:ascii="Times New Roman" w:hAnsi="Times New Roman" w:cs="Times New Roman"/>
          <w:color w:val="333333"/>
          <w:szCs w:val="22"/>
          <w:shd w:val="clear" w:color="auto" w:fill="FFFFFF"/>
        </w:rPr>
        <w:t>Kuh</w:t>
      </w:r>
      <w:proofErr w:type="spellEnd"/>
      <w:r w:rsidRPr="00CB5D5B">
        <w:rPr>
          <w:rFonts w:ascii="Times New Roman" w:hAnsi="Times New Roman" w:cs="Times New Roman"/>
          <w:color w:val="333333"/>
          <w:szCs w:val="22"/>
          <w:shd w:val="clear" w:color="auto" w:fill="FFFFFF"/>
        </w:rPr>
        <w:t>, G. D., &amp; Schneider, C. G. (2008).</w:t>
      </w:r>
      <w:r w:rsidRPr="00CB5D5B">
        <w:rPr>
          <w:rStyle w:val="apple-converted-space"/>
          <w:rFonts w:ascii="Times New Roman" w:hAnsi="Times New Roman" w:cs="Times New Roman"/>
          <w:color w:val="333333"/>
          <w:szCs w:val="22"/>
          <w:shd w:val="clear" w:color="auto" w:fill="FFFFFF"/>
        </w:rPr>
        <w:t> </w:t>
      </w:r>
      <w:r w:rsidRPr="00CB5D5B">
        <w:rPr>
          <w:rFonts w:ascii="Times New Roman" w:hAnsi="Times New Roman" w:cs="Times New Roman"/>
          <w:i/>
          <w:iCs/>
          <w:color w:val="333333"/>
          <w:szCs w:val="22"/>
          <w:shd w:val="clear" w:color="auto" w:fill="FFFFFF"/>
        </w:rPr>
        <w:t>High-impact educational pr</w:t>
      </w:r>
      <w:r w:rsidR="008A1C32">
        <w:rPr>
          <w:rFonts w:ascii="Times New Roman" w:hAnsi="Times New Roman" w:cs="Times New Roman"/>
          <w:i/>
          <w:iCs/>
          <w:color w:val="333333"/>
          <w:szCs w:val="22"/>
          <w:shd w:val="clear" w:color="auto" w:fill="FFFFFF"/>
        </w:rPr>
        <w:t xml:space="preserve">actices: </w:t>
      </w:r>
      <w:r w:rsidR="00CD64A9">
        <w:rPr>
          <w:rFonts w:ascii="Times New Roman" w:hAnsi="Times New Roman" w:cs="Times New Roman"/>
          <w:i/>
          <w:iCs/>
          <w:color w:val="333333"/>
          <w:szCs w:val="22"/>
          <w:shd w:val="clear" w:color="auto" w:fill="FFFFFF"/>
        </w:rPr>
        <w:t>W</w:t>
      </w:r>
      <w:r w:rsidR="008A1C32">
        <w:rPr>
          <w:rFonts w:ascii="Times New Roman" w:hAnsi="Times New Roman" w:cs="Times New Roman"/>
          <w:i/>
          <w:iCs/>
          <w:color w:val="333333"/>
          <w:szCs w:val="22"/>
          <w:shd w:val="clear" w:color="auto" w:fill="FFFFFF"/>
        </w:rPr>
        <w:t>hat they are, who has</w:t>
      </w:r>
      <w:r w:rsidR="008A1C32">
        <w:rPr>
          <w:rFonts w:ascii="Times New Roman" w:hAnsi="Times New Roman" w:cs="Times New Roman"/>
          <w:i/>
          <w:iCs/>
          <w:color w:val="333333"/>
          <w:szCs w:val="22"/>
          <w:shd w:val="clear" w:color="auto" w:fill="FFFFFF"/>
        </w:rPr>
        <w:tab/>
      </w:r>
      <w:r w:rsidRPr="00CB5D5B">
        <w:rPr>
          <w:rFonts w:ascii="Times New Roman" w:hAnsi="Times New Roman" w:cs="Times New Roman"/>
          <w:i/>
          <w:iCs/>
          <w:color w:val="333333"/>
          <w:szCs w:val="22"/>
          <w:shd w:val="clear" w:color="auto" w:fill="FFFFFF"/>
        </w:rPr>
        <w:t>access to them, and why they matter</w:t>
      </w:r>
      <w:r w:rsidRPr="00CB5D5B">
        <w:rPr>
          <w:rFonts w:ascii="Times New Roman" w:hAnsi="Times New Roman" w:cs="Times New Roman"/>
          <w:color w:val="333333"/>
          <w:szCs w:val="22"/>
          <w:shd w:val="clear" w:color="auto" w:fill="FFFFFF"/>
        </w:rPr>
        <w:t>, DC: Association of American Colleges and Universities.</w:t>
      </w:r>
    </w:p>
    <w:p w14:paraId="197557C0" w14:textId="77777777" w:rsidR="00CB5D5B" w:rsidRPr="00CB5D5B" w:rsidRDefault="00CB5D5B" w:rsidP="009C2A58">
      <w:pPr>
        <w:spacing w:line="240" w:lineRule="auto"/>
        <w:rPr>
          <w:rFonts w:ascii="Times New Roman" w:hAnsi="Times New Roman" w:cs="Times New Roman"/>
          <w:color w:val="333333"/>
          <w:szCs w:val="22"/>
          <w:shd w:val="clear" w:color="auto" w:fill="FFFFFF"/>
        </w:rPr>
      </w:pPr>
      <w:r w:rsidRPr="00CB5D5B">
        <w:rPr>
          <w:rFonts w:ascii="Times New Roman" w:hAnsi="Times New Roman" w:cs="Times New Roman"/>
          <w:color w:val="333333"/>
          <w:szCs w:val="22"/>
          <w:shd w:val="clear" w:color="auto" w:fill="FFFFFF"/>
        </w:rPr>
        <w:t>Rhodes, T. L. (2010).</w:t>
      </w:r>
      <w:r w:rsidRPr="00CB5D5B">
        <w:rPr>
          <w:rStyle w:val="apple-converted-space"/>
          <w:rFonts w:ascii="Times New Roman" w:hAnsi="Times New Roman" w:cs="Times New Roman"/>
          <w:color w:val="333333"/>
          <w:szCs w:val="22"/>
          <w:shd w:val="clear" w:color="auto" w:fill="FFFFFF"/>
        </w:rPr>
        <w:t> </w:t>
      </w:r>
      <w:r w:rsidRPr="00CB5D5B">
        <w:rPr>
          <w:rFonts w:ascii="Times New Roman" w:hAnsi="Times New Roman" w:cs="Times New Roman"/>
          <w:i/>
          <w:iCs/>
          <w:color w:val="333333"/>
          <w:szCs w:val="22"/>
          <w:shd w:val="clear" w:color="auto" w:fill="FFFFFF"/>
        </w:rPr>
        <w:t xml:space="preserve">Assessing outcomes and improving achievement: </w:t>
      </w:r>
      <w:r w:rsidR="00210684">
        <w:rPr>
          <w:rFonts w:ascii="Times New Roman" w:hAnsi="Times New Roman" w:cs="Times New Roman"/>
          <w:i/>
          <w:iCs/>
          <w:color w:val="333333"/>
          <w:szCs w:val="22"/>
          <w:shd w:val="clear" w:color="auto" w:fill="FFFFFF"/>
        </w:rPr>
        <w:t>T</w:t>
      </w:r>
      <w:r w:rsidRPr="00CB5D5B">
        <w:rPr>
          <w:rFonts w:ascii="Times New Roman" w:hAnsi="Times New Roman" w:cs="Times New Roman"/>
          <w:i/>
          <w:iCs/>
          <w:color w:val="333333"/>
          <w:szCs w:val="22"/>
          <w:shd w:val="clear" w:color="auto" w:fill="FFFFFF"/>
        </w:rPr>
        <w:t>ips and tools for using rubrics</w:t>
      </w:r>
      <w:r w:rsidR="008A1C32">
        <w:rPr>
          <w:rFonts w:ascii="Times New Roman" w:hAnsi="Times New Roman" w:cs="Times New Roman"/>
          <w:color w:val="333333"/>
          <w:szCs w:val="22"/>
          <w:shd w:val="clear" w:color="auto" w:fill="FFFFFF"/>
        </w:rPr>
        <w:t>.</w:t>
      </w:r>
      <w:r w:rsidR="008A1C32">
        <w:rPr>
          <w:rFonts w:ascii="Times New Roman" w:hAnsi="Times New Roman" w:cs="Times New Roman"/>
          <w:color w:val="333333"/>
          <w:szCs w:val="22"/>
          <w:shd w:val="clear" w:color="auto" w:fill="FFFFFF"/>
        </w:rPr>
        <w:tab/>
      </w:r>
      <w:r w:rsidRPr="00CB5D5B">
        <w:rPr>
          <w:rFonts w:ascii="Times New Roman" w:hAnsi="Times New Roman" w:cs="Times New Roman"/>
          <w:color w:val="333333"/>
          <w:szCs w:val="22"/>
          <w:shd w:val="clear" w:color="auto" w:fill="FFFFFF"/>
        </w:rPr>
        <w:t>Washington, DC: Association of American Colleges and Universities.</w:t>
      </w:r>
    </w:p>
    <w:p w14:paraId="45B4168C" w14:textId="77777777" w:rsidR="00CB5D5B" w:rsidRPr="00CB5D5B" w:rsidRDefault="00CB5D5B" w:rsidP="009C2A58">
      <w:pPr>
        <w:spacing w:line="240" w:lineRule="auto"/>
        <w:rPr>
          <w:rFonts w:ascii="Times New Roman" w:hAnsi="Times New Roman" w:cs="Times New Roman"/>
          <w:color w:val="333333"/>
          <w:szCs w:val="22"/>
          <w:shd w:val="clear" w:color="auto" w:fill="FFFFFF"/>
        </w:rPr>
      </w:pPr>
      <w:r w:rsidRPr="00CB5D5B">
        <w:rPr>
          <w:rFonts w:ascii="Times New Roman" w:hAnsi="Times New Roman" w:cs="Times New Roman"/>
          <w:color w:val="333333"/>
          <w:szCs w:val="22"/>
          <w:shd w:val="clear" w:color="auto" w:fill="FFFFFF"/>
        </w:rPr>
        <w:t>Rhodes, T. L., &amp; Finley, A. P. (2013).</w:t>
      </w:r>
      <w:r w:rsidRPr="00CB5D5B">
        <w:rPr>
          <w:rStyle w:val="apple-converted-space"/>
          <w:rFonts w:ascii="Times New Roman" w:hAnsi="Times New Roman" w:cs="Times New Roman"/>
          <w:color w:val="333333"/>
          <w:szCs w:val="22"/>
          <w:shd w:val="clear" w:color="auto" w:fill="FFFFFF"/>
        </w:rPr>
        <w:t> </w:t>
      </w:r>
      <w:r w:rsidRPr="00CB5D5B">
        <w:rPr>
          <w:rFonts w:ascii="Times New Roman" w:hAnsi="Times New Roman" w:cs="Times New Roman"/>
          <w:i/>
          <w:iCs/>
          <w:color w:val="333333"/>
          <w:szCs w:val="22"/>
          <w:shd w:val="clear" w:color="auto" w:fill="FFFFFF"/>
        </w:rPr>
        <w:t xml:space="preserve">Using the VALUE rubrics </w:t>
      </w:r>
      <w:r w:rsidR="008A1C32">
        <w:rPr>
          <w:rFonts w:ascii="Times New Roman" w:hAnsi="Times New Roman" w:cs="Times New Roman"/>
          <w:i/>
          <w:iCs/>
          <w:color w:val="333333"/>
          <w:szCs w:val="22"/>
          <w:shd w:val="clear" w:color="auto" w:fill="FFFFFF"/>
        </w:rPr>
        <w:t>for improvement of learning and</w:t>
      </w:r>
      <w:r w:rsidR="008A1C32">
        <w:rPr>
          <w:rFonts w:ascii="Times New Roman" w:hAnsi="Times New Roman" w:cs="Times New Roman"/>
          <w:i/>
          <w:iCs/>
          <w:color w:val="333333"/>
          <w:szCs w:val="22"/>
          <w:shd w:val="clear" w:color="auto" w:fill="FFFFFF"/>
        </w:rPr>
        <w:tab/>
      </w:r>
      <w:r w:rsidRPr="00CB5D5B">
        <w:rPr>
          <w:rFonts w:ascii="Times New Roman" w:hAnsi="Times New Roman" w:cs="Times New Roman"/>
          <w:i/>
          <w:iCs/>
          <w:color w:val="333333"/>
          <w:szCs w:val="22"/>
          <w:shd w:val="clear" w:color="auto" w:fill="FFFFFF"/>
        </w:rPr>
        <w:t>authentic assessment</w:t>
      </w:r>
      <w:r w:rsidRPr="00CB5D5B">
        <w:rPr>
          <w:rFonts w:ascii="Times New Roman" w:hAnsi="Times New Roman" w:cs="Times New Roman"/>
          <w:color w:val="333333"/>
          <w:szCs w:val="22"/>
          <w:shd w:val="clear" w:color="auto" w:fill="FFFFFF"/>
        </w:rPr>
        <w:t>. Washington, DC: Association of American Colleges and Universities.</w:t>
      </w:r>
    </w:p>
    <w:p w14:paraId="28D1E2BC" w14:textId="77777777" w:rsidR="00CB5D5B" w:rsidRPr="00CB5D5B" w:rsidRDefault="00CB5D5B" w:rsidP="009C2A58">
      <w:pPr>
        <w:spacing w:line="240" w:lineRule="auto"/>
        <w:rPr>
          <w:rFonts w:ascii="Times New Roman" w:hAnsi="Times New Roman" w:cs="Times New Roman"/>
          <w:color w:val="333333"/>
          <w:szCs w:val="22"/>
          <w:shd w:val="clear" w:color="auto" w:fill="FFFFFF"/>
        </w:rPr>
      </w:pPr>
      <w:r w:rsidRPr="00CB5D5B">
        <w:rPr>
          <w:rFonts w:ascii="Times New Roman" w:hAnsi="Times New Roman" w:cs="Times New Roman"/>
          <w:color w:val="333333"/>
          <w:szCs w:val="22"/>
          <w:shd w:val="clear" w:color="auto" w:fill="FFFFFF"/>
        </w:rPr>
        <w:t>Steel, P. The Nature Of Pr</w:t>
      </w:r>
      <w:r>
        <w:rPr>
          <w:rFonts w:ascii="Times New Roman" w:hAnsi="Times New Roman" w:cs="Times New Roman"/>
          <w:color w:val="333333"/>
          <w:szCs w:val="22"/>
          <w:shd w:val="clear" w:color="auto" w:fill="FFFFFF"/>
        </w:rPr>
        <w:t xml:space="preserve">ocrastination: </w:t>
      </w:r>
      <w:r w:rsidRPr="00CB5D5B">
        <w:rPr>
          <w:rFonts w:ascii="Times New Roman" w:hAnsi="Times New Roman" w:cs="Times New Roman"/>
          <w:i/>
          <w:color w:val="333333"/>
          <w:szCs w:val="22"/>
          <w:shd w:val="clear" w:color="auto" w:fill="FFFFFF"/>
        </w:rPr>
        <w:t xml:space="preserve">A </w:t>
      </w:r>
      <w:r w:rsidR="00210684">
        <w:rPr>
          <w:rFonts w:ascii="Times New Roman" w:hAnsi="Times New Roman" w:cs="Times New Roman"/>
          <w:i/>
          <w:color w:val="333333"/>
          <w:szCs w:val="22"/>
          <w:shd w:val="clear" w:color="auto" w:fill="FFFFFF"/>
        </w:rPr>
        <w:t>m</w:t>
      </w:r>
      <w:r w:rsidRPr="00CB5D5B">
        <w:rPr>
          <w:rFonts w:ascii="Times New Roman" w:hAnsi="Times New Roman" w:cs="Times New Roman"/>
          <w:i/>
          <w:color w:val="333333"/>
          <w:szCs w:val="22"/>
          <w:shd w:val="clear" w:color="auto" w:fill="FFFFFF"/>
        </w:rPr>
        <w:t xml:space="preserve">eta-analytic and </w:t>
      </w:r>
      <w:r w:rsidR="00210684">
        <w:rPr>
          <w:rFonts w:ascii="Times New Roman" w:hAnsi="Times New Roman" w:cs="Times New Roman"/>
          <w:i/>
          <w:color w:val="333333"/>
          <w:szCs w:val="22"/>
          <w:shd w:val="clear" w:color="auto" w:fill="FFFFFF"/>
        </w:rPr>
        <w:t>t</w:t>
      </w:r>
      <w:r w:rsidRPr="00CB5D5B">
        <w:rPr>
          <w:rFonts w:ascii="Times New Roman" w:hAnsi="Times New Roman" w:cs="Times New Roman"/>
          <w:i/>
          <w:color w:val="333333"/>
          <w:szCs w:val="22"/>
          <w:shd w:val="clear" w:color="auto" w:fill="FFFFFF"/>
        </w:rPr>
        <w:t>heoretica</w:t>
      </w:r>
      <w:r w:rsidR="008A1C32">
        <w:rPr>
          <w:rFonts w:ascii="Times New Roman" w:hAnsi="Times New Roman" w:cs="Times New Roman"/>
          <w:i/>
          <w:color w:val="333333"/>
          <w:szCs w:val="22"/>
          <w:shd w:val="clear" w:color="auto" w:fill="FFFFFF"/>
        </w:rPr>
        <w:t xml:space="preserve">l </w:t>
      </w:r>
      <w:r w:rsidR="00210684">
        <w:rPr>
          <w:rFonts w:ascii="Times New Roman" w:hAnsi="Times New Roman" w:cs="Times New Roman"/>
          <w:i/>
          <w:color w:val="333333"/>
          <w:szCs w:val="22"/>
          <w:shd w:val="clear" w:color="auto" w:fill="FFFFFF"/>
        </w:rPr>
        <w:t>review o</w:t>
      </w:r>
      <w:r w:rsidR="008A1C32">
        <w:rPr>
          <w:rFonts w:ascii="Times New Roman" w:hAnsi="Times New Roman" w:cs="Times New Roman"/>
          <w:i/>
          <w:color w:val="333333"/>
          <w:szCs w:val="22"/>
          <w:shd w:val="clear" w:color="auto" w:fill="FFFFFF"/>
        </w:rPr>
        <w:t xml:space="preserve">f </w:t>
      </w:r>
      <w:r w:rsidR="00210684">
        <w:rPr>
          <w:rFonts w:ascii="Times New Roman" w:hAnsi="Times New Roman" w:cs="Times New Roman"/>
          <w:i/>
          <w:color w:val="333333"/>
          <w:szCs w:val="22"/>
          <w:shd w:val="clear" w:color="auto" w:fill="FFFFFF"/>
        </w:rPr>
        <w:t>q</w:t>
      </w:r>
      <w:r w:rsidR="008A1C32">
        <w:rPr>
          <w:rFonts w:ascii="Times New Roman" w:hAnsi="Times New Roman" w:cs="Times New Roman"/>
          <w:i/>
          <w:color w:val="333333"/>
          <w:szCs w:val="22"/>
          <w:shd w:val="clear" w:color="auto" w:fill="FFFFFF"/>
        </w:rPr>
        <w:t xml:space="preserve">uintessential </w:t>
      </w:r>
      <w:r w:rsidR="00210684">
        <w:rPr>
          <w:rFonts w:ascii="Times New Roman" w:hAnsi="Times New Roman" w:cs="Times New Roman"/>
          <w:i/>
          <w:color w:val="333333"/>
          <w:szCs w:val="22"/>
          <w:shd w:val="clear" w:color="auto" w:fill="FFFFFF"/>
        </w:rPr>
        <w:t>s</w:t>
      </w:r>
      <w:r w:rsidR="008A1C32">
        <w:rPr>
          <w:rFonts w:ascii="Times New Roman" w:hAnsi="Times New Roman" w:cs="Times New Roman"/>
          <w:i/>
          <w:color w:val="333333"/>
          <w:szCs w:val="22"/>
          <w:shd w:val="clear" w:color="auto" w:fill="FFFFFF"/>
        </w:rPr>
        <w:t>elf-</w:t>
      </w:r>
      <w:r w:rsidR="008A1C32">
        <w:rPr>
          <w:rFonts w:ascii="Times New Roman" w:hAnsi="Times New Roman" w:cs="Times New Roman"/>
          <w:i/>
          <w:color w:val="333333"/>
          <w:szCs w:val="22"/>
          <w:shd w:val="clear" w:color="auto" w:fill="FFFFFF"/>
        </w:rPr>
        <w:tab/>
      </w:r>
      <w:r w:rsidR="00210684">
        <w:rPr>
          <w:rFonts w:ascii="Times New Roman" w:hAnsi="Times New Roman" w:cs="Times New Roman"/>
          <w:i/>
          <w:color w:val="333333"/>
          <w:szCs w:val="22"/>
          <w:shd w:val="clear" w:color="auto" w:fill="FFFFFF"/>
        </w:rPr>
        <w:t>regulatory f</w:t>
      </w:r>
      <w:r w:rsidRPr="00CB5D5B">
        <w:rPr>
          <w:rFonts w:ascii="Times New Roman" w:hAnsi="Times New Roman" w:cs="Times New Roman"/>
          <w:i/>
          <w:color w:val="333333"/>
          <w:szCs w:val="22"/>
          <w:shd w:val="clear" w:color="auto" w:fill="FFFFFF"/>
        </w:rPr>
        <w:t>ailure.</w:t>
      </w:r>
      <w:r w:rsidRPr="00CB5D5B">
        <w:rPr>
          <w:rStyle w:val="apple-converted-space"/>
          <w:rFonts w:ascii="Times New Roman" w:hAnsi="Times New Roman" w:cs="Times New Roman"/>
          <w:color w:val="333333"/>
          <w:szCs w:val="22"/>
          <w:shd w:val="clear" w:color="auto" w:fill="FFFFFF"/>
        </w:rPr>
        <w:t> </w:t>
      </w:r>
      <w:r w:rsidRPr="00CB5D5B">
        <w:rPr>
          <w:rFonts w:ascii="Times New Roman" w:hAnsi="Times New Roman" w:cs="Times New Roman"/>
          <w:iCs/>
          <w:color w:val="333333"/>
          <w:szCs w:val="22"/>
          <w:shd w:val="clear" w:color="auto" w:fill="FFFFFF"/>
        </w:rPr>
        <w:t>Psychological Bulletin</w:t>
      </w:r>
      <w:r>
        <w:rPr>
          <w:rFonts w:ascii="Times New Roman" w:hAnsi="Times New Roman" w:cs="Times New Roman"/>
          <w:color w:val="333333"/>
          <w:szCs w:val="22"/>
          <w:shd w:val="clear" w:color="auto" w:fill="FFFFFF"/>
        </w:rPr>
        <w:t xml:space="preserve">, Vol 133(1). January, 2007, </w:t>
      </w:r>
      <w:r w:rsidRPr="00CB5D5B">
        <w:rPr>
          <w:rFonts w:ascii="Times New Roman" w:hAnsi="Times New Roman" w:cs="Times New Roman"/>
          <w:color w:val="333333"/>
          <w:szCs w:val="22"/>
          <w:shd w:val="clear" w:color="auto" w:fill="FFFFFF"/>
        </w:rPr>
        <w:t>65-94.</w:t>
      </w:r>
    </w:p>
    <w:p w14:paraId="16F41307" w14:textId="77777777" w:rsidR="00F96BF2" w:rsidRDefault="00F96BF2" w:rsidP="009C2A58">
      <w:pPr>
        <w:spacing w:line="240" w:lineRule="auto"/>
        <w:rPr>
          <w:rFonts w:ascii="Times New Roman" w:hAnsi="Times New Roman" w:cs="Times New Roman"/>
          <w:color w:val="333333"/>
          <w:szCs w:val="22"/>
          <w:shd w:val="clear" w:color="auto" w:fill="FFFFFF"/>
        </w:rPr>
      </w:pPr>
      <w:proofErr w:type="spellStart"/>
      <w:r>
        <w:rPr>
          <w:rFonts w:ascii="Times New Roman" w:hAnsi="Times New Roman" w:cs="Times New Roman"/>
          <w:color w:val="333333"/>
          <w:szCs w:val="22"/>
          <w:shd w:val="clear" w:color="auto" w:fill="FFFFFF"/>
        </w:rPr>
        <w:t>Tagg</w:t>
      </w:r>
      <w:proofErr w:type="spellEnd"/>
      <w:r>
        <w:rPr>
          <w:rFonts w:ascii="Times New Roman" w:hAnsi="Times New Roman" w:cs="Times New Roman"/>
          <w:color w:val="333333"/>
          <w:szCs w:val="22"/>
          <w:shd w:val="clear" w:color="auto" w:fill="FFFFFF"/>
        </w:rPr>
        <w:t xml:space="preserve">, J. (2003) </w:t>
      </w:r>
      <w:r>
        <w:rPr>
          <w:rFonts w:ascii="Times New Roman" w:hAnsi="Times New Roman" w:cs="Times New Roman"/>
          <w:i/>
          <w:color w:val="333333"/>
          <w:szCs w:val="22"/>
          <w:shd w:val="clear" w:color="auto" w:fill="FFFFFF"/>
        </w:rPr>
        <w:t xml:space="preserve">The </w:t>
      </w:r>
      <w:r w:rsidR="00210684">
        <w:rPr>
          <w:rFonts w:ascii="Times New Roman" w:hAnsi="Times New Roman" w:cs="Times New Roman"/>
          <w:i/>
          <w:color w:val="333333"/>
          <w:szCs w:val="22"/>
          <w:shd w:val="clear" w:color="auto" w:fill="FFFFFF"/>
        </w:rPr>
        <w:t>learning p</w:t>
      </w:r>
      <w:r>
        <w:rPr>
          <w:rFonts w:ascii="Times New Roman" w:hAnsi="Times New Roman" w:cs="Times New Roman"/>
          <w:i/>
          <w:color w:val="333333"/>
          <w:szCs w:val="22"/>
          <w:shd w:val="clear" w:color="auto" w:fill="FFFFFF"/>
        </w:rPr>
        <w:t xml:space="preserve">aradigm </w:t>
      </w:r>
      <w:r w:rsidRPr="00F96BF2">
        <w:rPr>
          <w:rFonts w:ascii="Times New Roman" w:hAnsi="Times New Roman" w:cs="Times New Roman"/>
          <w:color w:val="333333"/>
          <w:szCs w:val="22"/>
          <w:shd w:val="clear" w:color="auto" w:fill="FFFFFF"/>
        </w:rPr>
        <w:t>College</w:t>
      </w:r>
      <w:r>
        <w:rPr>
          <w:rFonts w:ascii="Times New Roman" w:hAnsi="Times New Roman" w:cs="Times New Roman"/>
          <w:color w:val="333333"/>
          <w:szCs w:val="22"/>
          <w:shd w:val="clear" w:color="auto" w:fill="FFFFFF"/>
        </w:rPr>
        <w:t xml:space="preserve">. Bolton, MA: </w:t>
      </w:r>
      <w:proofErr w:type="spellStart"/>
      <w:r w:rsidRPr="00CB5D5B">
        <w:rPr>
          <w:rFonts w:ascii="Times New Roman" w:hAnsi="Times New Roman" w:cs="Times New Roman"/>
          <w:color w:val="333333"/>
          <w:szCs w:val="22"/>
          <w:shd w:val="clear" w:color="auto" w:fill="FFFFFF"/>
        </w:rPr>
        <w:t>Ankor</w:t>
      </w:r>
      <w:proofErr w:type="spellEnd"/>
      <w:r w:rsidRPr="00CB5D5B">
        <w:rPr>
          <w:rFonts w:ascii="Times New Roman" w:hAnsi="Times New Roman" w:cs="Times New Roman"/>
          <w:color w:val="333333"/>
          <w:szCs w:val="22"/>
          <w:shd w:val="clear" w:color="auto" w:fill="FFFFFF"/>
        </w:rPr>
        <w:t xml:space="preserve"> Press.</w:t>
      </w:r>
    </w:p>
    <w:p w14:paraId="2C8AA705" w14:textId="77777777" w:rsidR="008A1C32" w:rsidRDefault="008A1C32" w:rsidP="009C2A58">
      <w:pPr>
        <w:spacing w:line="240" w:lineRule="auto"/>
        <w:rPr>
          <w:rFonts w:ascii="Times New Roman" w:hAnsi="Times New Roman" w:cs="Times New Roman"/>
          <w:color w:val="333333"/>
          <w:szCs w:val="22"/>
          <w:shd w:val="clear" w:color="auto" w:fill="FFFFFF"/>
        </w:rPr>
      </w:pPr>
      <w:r w:rsidRPr="00F96BF2">
        <w:rPr>
          <w:rFonts w:ascii="Times New Roman" w:hAnsi="Times New Roman" w:cs="Times New Roman"/>
          <w:color w:val="333333"/>
          <w:szCs w:val="22"/>
          <w:shd w:val="clear" w:color="auto" w:fill="FFFFFF"/>
        </w:rPr>
        <w:t>White</w:t>
      </w:r>
      <w:r>
        <w:rPr>
          <w:rFonts w:ascii="Times New Roman" w:hAnsi="Times New Roman" w:cs="Times New Roman"/>
          <w:color w:val="333333"/>
          <w:szCs w:val="22"/>
          <w:shd w:val="clear" w:color="auto" w:fill="FFFFFF"/>
        </w:rPr>
        <w:t xml:space="preserve">, W.F. &amp; Kitchen, S. (1991). </w:t>
      </w:r>
      <w:r w:rsidR="00210684">
        <w:rPr>
          <w:rFonts w:ascii="Times New Roman" w:hAnsi="Times New Roman" w:cs="Times New Roman"/>
          <w:i/>
          <w:color w:val="333333"/>
          <w:szCs w:val="22"/>
          <w:shd w:val="clear" w:color="auto" w:fill="FFFFFF"/>
        </w:rPr>
        <w:t>Teaching m</w:t>
      </w:r>
      <w:r w:rsidRPr="008A1C32">
        <w:rPr>
          <w:rFonts w:ascii="Times New Roman" w:hAnsi="Times New Roman" w:cs="Times New Roman"/>
          <w:i/>
          <w:color w:val="333333"/>
          <w:szCs w:val="22"/>
          <w:shd w:val="clear" w:color="auto" w:fill="FFFFFF"/>
        </w:rPr>
        <w:t xml:space="preserve">etacognitive </w:t>
      </w:r>
      <w:r w:rsidR="00210684">
        <w:rPr>
          <w:rFonts w:ascii="Times New Roman" w:hAnsi="Times New Roman" w:cs="Times New Roman"/>
          <w:i/>
          <w:color w:val="333333"/>
          <w:szCs w:val="22"/>
          <w:shd w:val="clear" w:color="auto" w:fill="FFFFFF"/>
        </w:rPr>
        <w:t>a</w:t>
      </w:r>
      <w:r w:rsidRPr="008A1C32">
        <w:rPr>
          <w:rFonts w:ascii="Times New Roman" w:hAnsi="Times New Roman" w:cs="Times New Roman"/>
          <w:i/>
          <w:color w:val="333333"/>
          <w:szCs w:val="22"/>
          <w:shd w:val="clear" w:color="auto" w:fill="FFFFFF"/>
        </w:rPr>
        <w:t xml:space="preserve">wareness to </w:t>
      </w:r>
      <w:r w:rsidR="00210684">
        <w:rPr>
          <w:rFonts w:ascii="Times New Roman" w:hAnsi="Times New Roman" w:cs="Times New Roman"/>
          <w:i/>
          <w:color w:val="333333"/>
          <w:szCs w:val="22"/>
          <w:shd w:val="clear" w:color="auto" w:fill="FFFFFF"/>
        </w:rPr>
        <w:t>e</w:t>
      </w:r>
      <w:r w:rsidRPr="008A1C32">
        <w:rPr>
          <w:rFonts w:ascii="Times New Roman" w:hAnsi="Times New Roman" w:cs="Times New Roman"/>
          <w:i/>
          <w:color w:val="333333"/>
          <w:szCs w:val="22"/>
          <w:shd w:val="clear" w:color="auto" w:fill="FFFFFF"/>
        </w:rPr>
        <w:t xml:space="preserve">ntering </w:t>
      </w:r>
      <w:r w:rsidR="00210684">
        <w:rPr>
          <w:rFonts w:ascii="Times New Roman" w:hAnsi="Times New Roman" w:cs="Times New Roman"/>
          <w:i/>
          <w:color w:val="333333"/>
          <w:szCs w:val="22"/>
          <w:shd w:val="clear" w:color="auto" w:fill="FFFFFF"/>
        </w:rPr>
        <w:t>c</w:t>
      </w:r>
      <w:r w:rsidRPr="008A1C32">
        <w:rPr>
          <w:rFonts w:ascii="Times New Roman" w:hAnsi="Times New Roman" w:cs="Times New Roman"/>
          <w:i/>
          <w:color w:val="333333"/>
          <w:szCs w:val="22"/>
          <w:shd w:val="clear" w:color="auto" w:fill="FFFFFF"/>
        </w:rPr>
        <w:t xml:space="preserve">ollege </w:t>
      </w:r>
      <w:r w:rsidR="00210684">
        <w:rPr>
          <w:rFonts w:ascii="Times New Roman" w:hAnsi="Times New Roman" w:cs="Times New Roman"/>
          <w:i/>
          <w:color w:val="333333"/>
          <w:szCs w:val="22"/>
          <w:shd w:val="clear" w:color="auto" w:fill="FFFFFF"/>
        </w:rPr>
        <w:t>s</w:t>
      </w:r>
      <w:r w:rsidRPr="008A1C32">
        <w:rPr>
          <w:rFonts w:ascii="Times New Roman" w:hAnsi="Times New Roman" w:cs="Times New Roman"/>
          <w:i/>
          <w:color w:val="333333"/>
          <w:szCs w:val="22"/>
          <w:shd w:val="clear" w:color="auto" w:fill="FFFFFF"/>
        </w:rPr>
        <w:t xml:space="preserve">tudents </w:t>
      </w:r>
      <w:r w:rsidR="00210684">
        <w:rPr>
          <w:rFonts w:ascii="Times New Roman" w:hAnsi="Times New Roman" w:cs="Times New Roman"/>
          <w:i/>
          <w:color w:val="333333"/>
          <w:szCs w:val="22"/>
          <w:shd w:val="clear" w:color="auto" w:fill="FFFFFF"/>
        </w:rPr>
        <w:t>w</w:t>
      </w:r>
      <w:r w:rsidRPr="008A1C32">
        <w:rPr>
          <w:rFonts w:ascii="Times New Roman" w:hAnsi="Times New Roman" w:cs="Times New Roman"/>
          <w:i/>
          <w:color w:val="333333"/>
          <w:szCs w:val="22"/>
          <w:shd w:val="clear" w:color="auto" w:fill="FFFFFF"/>
        </w:rPr>
        <w:t>ith</w:t>
      </w:r>
      <w:r w:rsidRPr="008A1C32">
        <w:rPr>
          <w:rFonts w:ascii="Times New Roman" w:hAnsi="Times New Roman" w:cs="Times New Roman"/>
          <w:i/>
          <w:color w:val="333333"/>
          <w:szCs w:val="22"/>
          <w:shd w:val="clear" w:color="auto" w:fill="FFFFFF"/>
        </w:rPr>
        <w:tab/>
      </w:r>
      <w:r w:rsidR="00210684">
        <w:rPr>
          <w:rFonts w:ascii="Times New Roman" w:hAnsi="Times New Roman" w:cs="Times New Roman"/>
          <w:i/>
          <w:color w:val="333333"/>
          <w:szCs w:val="22"/>
          <w:shd w:val="clear" w:color="auto" w:fill="FFFFFF"/>
        </w:rPr>
        <w:t>d</w:t>
      </w:r>
      <w:r w:rsidRPr="008A1C32">
        <w:rPr>
          <w:rFonts w:ascii="Times New Roman" w:hAnsi="Times New Roman" w:cs="Times New Roman"/>
          <w:i/>
          <w:color w:val="333333"/>
          <w:szCs w:val="22"/>
          <w:shd w:val="clear" w:color="auto" w:fill="FFFFFF"/>
        </w:rPr>
        <w:t xml:space="preserve">evelopmental </w:t>
      </w:r>
      <w:r w:rsidR="00210684">
        <w:rPr>
          <w:rFonts w:ascii="Times New Roman" w:hAnsi="Times New Roman" w:cs="Times New Roman"/>
          <w:i/>
          <w:color w:val="333333"/>
          <w:szCs w:val="22"/>
          <w:shd w:val="clear" w:color="auto" w:fill="FFFFFF"/>
        </w:rPr>
        <w:t>l</w:t>
      </w:r>
      <w:r w:rsidRPr="008A1C32">
        <w:rPr>
          <w:rFonts w:ascii="Times New Roman" w:hAnsi="Times New Roman" w:cs="Times New Roman"/>
          <w:i/>
          <w:color w:val="333333"/>
          <w:szCs w:val="22"/>
          <w:shd w:val="clear" w:color="auto" w:fill="FFFFFF"/>
        </w:rPr>
        <w:t>ag.</w:t>
      </w:r>
      <w:r>
        <w:rPr>
          <w:rFonts w:ascii="Times New Roman" w:hAnsi="Times New Roman" w:cs="Times New Roman"/>
          <w:color w:val="333333"/>
          <w:szCs w:val="22"/>
          <w:shd w:val="clear" w:color="auto" w:fill="FFFFFF"/>
        </w:rPr>
        <w:t xml:space="preserve"> College Student Journal, 25 (4), 521-523.</w:t>
      </w:r>
    </w:p>
    <w:p w14:paraId="5E363C7D" w14:textId="77777777" w:rsidR="00CB5D5B" w:rsidRPr="00CB5D5B" w:rsidRDefault="00CB5D5B" w:rsidP="009C2A58">
      <w:pPr>
        <w:spacing w:line="240" w:lineRule="auto"/>
        <w:rPr>
          <w:rFonts w:ascii="Times New Roman" w:hAnsi="Times New Roman" w:cs="Times New Roman"/>
          <w:color w:val="333333"/>
          <w:szCs w:val="22"/>
          <w:shd w:val="clear" w:color="auto" w:fill="FFFFFF"/>
        </w:rPr>
      </w:pPr>
      <w:r w:rsidRPr="00CB5D5B">
        <w:rPr>
          <w:rFonts w:ascii="Times New Roman" w:hAnsi="Times New Roman" w:cs="Times New Roman"/>
          <w:color w:val="333333"/>
          <w:szCs w:val="22"/>
          <w:shd w:val="clear" w:color="auto" w:fill="FFFFFF"/>
        </w:rPr>
        <w:t>Wenger, E. (2004).</w:t>
      </w:r>
      <w:r w:rsidRPr="00CB5D5B">
        <w:rPr>
          <w:rStyle w:val="apple-converted-space"/>
          <w:rFonts w:ascii="Times New Roman" w:hAnsi="Times New Roman" w:cs="Times New Roman"/>
          <w:color w:val="333333"/>
          <w:szCs w:val="22"/>
          <w:shd w:val="clear" w:color="auto" w:fill="FFFFFF"/>
        </w:rPr>
        <w:t> </w:t>
      </w:r>
      <w:r w:rsidR="00210684">
        <w:rPr>
          <w:rFonts w:ascii="Times New Roman" w:hAnsi="Times New Roman" w:cs="Times New Roman"/>
          <w:i/>
          <w:iCs/>
          <w:color w:val="333333"/>
          <w:szCs w:val="22"/>
          <w:shd w:val="clear" w:color="auto" w:fill="FFFFFF"/>
        </w:rPr>
        <w:t>Communities of practice: L</w:t>
      </w:r>
      <w:r w:rsidRPr="00CB5D5B">
        <w:rPr>
          <w:rFonts w:ascii="Times New Roman" w:hAnsi="Times New Roman" w:cs="Times New Roman"/>
          <w:i/>
          <w:iCs/>
          <w:color w:val="333333"/>
          <w:szCs w:val="22"/>
          <w:shd w:val="clear" w:color="auto" w:fill="FFFFFF"/>
        </w:rPr>
        <w:t>earning, meaning, and identity</w:t>
      </w:r>
      <w:r w:rsidR="008A1C32">
        <w:rPr>
          <w:rFonts w:ascii="Times New Roman" w:hAnsi="Times New Roman" w:cs="Times New Roman"/>
          <w:color w:val="333333"/>
          <w:szCs w:val="22"/>
          <w:shd w:val="clear" w:color="auto" w:fill="FFFFFF"/>
        </w:rPr>
        <w:t>. Cambridge, U.K.:</w:t>
      </w:r>
      <w:r w:rsidR="008A1C32">
        <w:rPr>
          <w:rFonts w:ascii="Times New Roman" w:hAnsi="Times New Roman" w:cs="Times New Roman"/>
          <w:color w:val="333333"/>
          <w:szCs w:val="22"/>
          <w:shd w:val="clear" w:color="auto" w:fill="FFFFFF"/>
        </w:rPr>
        <w:tab/>
      </w:r>
      <w:r w:rsidRPr="00CB5D5B">
        <w:rPr>
          <w:rFonts w:ascii="Times New Roman" w:hAnsi="Times New Roman" w:cs="Times New Roman"/>
          <w:color w:val="333333"/>
          <w:szCs w:val="22"/>
          <w:shd w:val="clear" w:color="auto" w:fill="FFFFFF"/>
        </w:rPr>
        <w:t>Cambridge University Press.</w:t>
      </w:r>
    </w:p>
    <w:sectPr w:rsidR="00CB5D5B" w:rsidRPr="00CB5D5B" w:rsidSect="00A356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390EF" w14:textId="77777777" w:rsidR="001649F8" w:rsidRDefault="001649F8">
      <w:pPr>
        <w:spacing w:line="240" w:lineRule="auto"/>
      </w:pPr>
      <w:r>
        <w:separator/>
      </w:r>
    </w:p>
  </w:endnote>
  <w:endnote w:type="continuationSeparator" w:id="0">
    <w:p w14:paraId="4634C14B" w14:textId="77777777" w:rsidR="001649F8" w:rsidRDefault="00164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9FDB0" w14:textId="77777777" w:rsidR="001649F8" w:rsidRDefault="001649F8">
      <w:pPr>
        <w:spacing w:line="240" w:lineRule="auto"/>
      </w:pPr>
      <w:r>
        <w:separator/>
      </w:r>
    </w:p>
  </w:footnote>
  <w:footnote w:type="continuationSeparator" w:id="0">
    <w:p w14:paraId="2A675972" w14:textId="77777777" w:rsidR="001649F8" w:rsidRDefault="00164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203"/>
    <w:multiLevelType w:val="multilevel"/>
    <w:tmpl w:val="91FA8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6F5735"/>
    <w:multiLevelType w:val="multilevel"/>
    <w:tmpl w:val="B29451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0DA05E12"/>
    <w:multiLevelType w:val="hybridMultilevel"/>
    <w:tmpl w:val="66B47A6A"/>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158E2EBF"/>
    <w:multiLevelType w:val="multilevel"/>
    <w:tmpl w:val="095EA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A630F2F"/>
    <w:multiLevelType w:val="hybridMultilevel"/>
    <w:tmpl w:val="5C8AACD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 w15:restartNumberingAfterBreak="0">
    <w:nsid w:val="27B91CA1"/>
    <w:multiLevelType w:val="hybridMultilevel"/>
    <w:tmpl w:val="F440C904"/>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6" w15:restartNumberingAfterBreak="0">
    <w:nsid w:val="40386E2D"/>
    <w:multiLevelType w:val="hybridMultilevel"/>
    <w:tmpl w:val="0D140A2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7" w15:restartNumberingAfterBreak="0">
    <w:nsid w:val="4C8D0CF1"/>
    <w:multiLevelType w:val="multilevel"/>
    <w:tmpl w:val="434C2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27B62D7"/>
    <w:multiLevelType w:val="multilevel"/>
    <w:tmpl w:val="432EC2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DBE6F06"/>
    <w:multiLevelType w:val="hybridMultilevel"/>
    <w:tmpl w:val="218C43D4"/>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0" w15:restartNumberingAfterBreak="0">
    <w:nsid w:val="6E156D47"/>
    <w:multiLevelType w:val="multilevel"/>
    <w:tmpl w:val="0F8CA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0"/>
  </w:num>
  <w:num w:numId="3">
    <w:abstractNumId w:val="8"/>
  </w:num>
  <w:num w:numId="4">
    <w:abstractNumId w:val="3"/>
  </w:num>
  <w:num w:numId="5">
    <w:abstractNumId w:val="7"/>
  </w:num>
  <w:num w:numId="6">
    <w:abstractNumId w:val="0"/>
  </w:num>
  <w:num w:numId="7">
    <w:abstractNumId w:val="4"/>
  </w:num>
  <w:num w:numId="8">
    <w:abstractNumId w:val="9"/>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12"/>
    <w:rsid w:val="00005291"/>
    <w:rsid w:val="00007B56"/>
    <w:rsid w:val="00010D12"/>
    <w:rsid w:val="00017198"/>
    <w:rsid w:val="00027405"/>
    <w:rsid w:val="00063A97"/>
    <w:rsid w:val="000B361F"/>
    <w:rsid w:val="000C00E7"/>
    <w:rsid w:val="000C204E"/>
    <w:rsid w:val="000C3E33"/>
    <w:rsid w:val="000D2ABB"/>
    <w:rsid w:val="000D45A7"/>
    <w:rsid w:val="0010227F"/>
    <w:rsid w:val="001649F8"/>
    <w:rsid w:val="00181866"/>
    <w:rsid w:val="001930F4"/>
    <w:rsid w:val="001A6EFD"/>
    <w:rsid w:val="001B5FDC"/>
    <w:rsid w:val="001B79B3"/>
    <w:rsid w:val="001D081D"/>
    <w:rsid w:val="00210684"/>
    <w:rsid w:val="00237BEF"/>
    <w:rsid w:val="00240560"/>
    <w:rsid w:val="00273D12"/>
    <w:rsid w:val="00281738"/>
    <w:rsid w:val="0028581A"/>
    <w:rsid w:val="00292AFF"/>
    <w:rsid w:val="002E0079"/>
    <w:rsid w:val="002F3C8C"/>
    <w:rsid w:val="002F6691"/>
    <w:rsid w:val="002F6AF0"/>
    <w:rsid w:val="00324542"/>
    <w:rsid w:val="003270FE"/>
    <w:rsid w:val="0033087F"/>
    <w:rsid w:val="003421C7"/>
    <w:rsid w:val="00381DB1"/>
    <w:rsid w:val="003853FD"/>
    <w:rsid w:val="003A0BFD"/>
    <w:rsid w:val="003A100F"/>
    <w:rsid w:val="003D31D0"/>
    <w:rsid w:val="00406A26"/>
    <w:rsid w:val="00410067"/>
    <w:rsid w:val="004255C7"/>
    <w:rsid w:val="00441076"/>
    <w:rsid w:val="00467D5A"/>
    <w:rsid w:val="00473305"/>
    <w:rsid w:val="004A090A"/>
    <w:rsid w:val="004E026B"/>
    <w:rsid w:val="004E1091"/>
    <w:rsid w:val="00530800"/>
    <w:rsid w:val="00545802"/>
    <w:rsid w:val="005973D6"/>
    <w:rsid w:val="005E304B"/>
    <w:rsid w:val="005E6AB5"/>
    <w:rsid w:val="005F03B5"/>
    <w:rsid w:val="0066365C"/>
    <w:rsid w:val="0067763D"/>
    <w:rsid w:val="006B5623"/>
    <w:rsid w:val="006C2A8E"/>
    <w:rsid w:val="006D2256"/>
    <w:rsid w:val="0072504E"/>
    <w:rsid w:val="00793AB1"/>
    <w:rsid w:val="007B7D59"/>
    <w:rsid w:val="007D37A8"/>
    <w:rsid w:val="007D64CC"/>
    <w:rsid w:val="00801397"/>
    <w:rsid w:val="008057EB"/>
    <w:rsid w:val="00834718"/>
    <w:rsid w:val="008409F4"/>
    <w:rsid w:val="00874FB0"/>
    <w:rsid w:val="00875446"/>
    <w:rsid w:val="00884F6C"/>
    <w:rsid w:val="00890401"/>
    <w:rsid w:val="008A1C32"/>
    <w:rsid w:val="008B5E44"/>
    <w:rsid w:val="008D5E8B"/>
    <w:rsid w:val="008E5C60"/>
    <w:rsid w:val="008F305B"/>
    <w:rsid w:val="00900DC6"/>
    <w:rsid w:val="0090194B"/>
    <w:rsid w:val="00935112"/>
    <w:rsid w:val="00952D1E"/>
    <w:rsid w:val="00961FB2"/>
    <w:rsid w:val="00980197"/>
    <w:rsid w:val="009B01A1"/>
    <w:rsid w:val="009C2A58"/>
    <w:rsid w:val="009D3F05"/>
    <w:rsid w:val="009E00A0"/>
    <w:rsid w:val="009E2A27"/>
    <w:rsid w:val="00A33D0C"/>
    <w:rsid w:val="00A3439C"/>
    <w:rsid w:val="00A35622"/>
    <w:rsid w:val="00A622F8"/>
    <w:rsid w:val="00A701D8"/>
    <w:rsid w:val="00A71B16"/>
    <w:rsid w:val="00A918C5"/>
    <w:rsid w:val="00AB445A"/>
    <w:rsid w:val="00AD03FF"/>
    <w:rsid w:val="00AF5831"/>
    <w:rsid w:val="00B17EC9"/>
    <w:rsid w:val="00B31D2F"/>
    <w:rsid w:val="00B50774"/>
    <w:rsid w:val="00B53D5D"/>
    <w:rsid w:val="00B9656C"/>
    <w:rsid w:val="00BA3132"/>
    <w:rsid w:val="00BB64C8"/>
    <w:rsid w:val="00BC25C8"/>
    <w:rsid w:val="00BE6196"/>
    <w:rsid w:val="00C07EA2"/>
    <w:rsid w:val="00C16000"/>
    <w:rsid w:val="00C3544F"/>
    <w:rsid w:val="00C37DB5"/>
    <w:rsid w:val="00C6598C"/>
    <w:rsid w:val="00C8066B"/>
    <w:rsid w:val="00CB5D5B"/>
    <w:rsid w:val="00CD64A9"/>
    <w:rsid w:val="00D20875"/>
    <w:rsid w:val="00D438A4"/>
    <w:rsid w:val="00D5579D"/>
    <w:rsid w:val="00D942AC"/>
    <w:rsid w:val="00DB5BFC"/>
    <w:rsid w:val="00DC298D"/>
    <w:rsid w:val="00DE7C43"/>
    <w:rsid w:val="00E0610C"/>
    <w:rsid w:val="00E22DF1"/>
    <w:rsid w:val="00E5129E"/>
    <w:rsid w:val="00E91C4A"/>
    <w:rsid w:val="00EA1237"/>
    <w:rsid w:val="00EA1E0C"/>
    <w:rsid w:val="00EC5F33"/>
    <w:rsid w:val="00EC77BD"/>
    <w:rsid w:val="00EF1C96"/>
    <w:rsid w:val="00F17638"/>
    <w:rsid w:val="00F24918"/>
    <w:rsid w:val="00F26E56"/>
    <w:rsid w:val="00F96402"/>
    <w:rsid w:val="00F96BF2"/>
    <w:rsid w:val="00FA613B"/>
    <w:rsid w:val="00FB03B3"/>
    <w:rsid w:val="00FE3B16"/>
    <w:rsid w:val="00FF40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5C58"/>
  <w15:docId w15:val="{DAAC5751-3A60-49BB-B5A4-13EC6439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622"/>
  </w:style>
  <w:style w:type="paragraph" w:styleId="Heading1">
    <w:name w:val="heading 1"/>
    <w:basedOn w:val="Normal"/>
    <w:next w:val="Normal"/>
    <w:rsid w:val="00A3562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A3562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A3562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A3562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A3562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A3562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35622"/>
    <w:pPr>
      <w:keepNext/>
      <w:keepLines/>
      <w:contextualSpacing/>
    </w:pPr>
    <w:rPr>
      <w:rFonts w:ascii="Trebuchet MS" w:eastAsia="Trebuchet MS" w:hAnsi="Trebuchet MS" w:cs="Trebuchet MS"/>
      <w:sz w:val="42"/>
    </w:rPr>
  </w:style>
  <w:style w:type="paragraph" w:styleId="Subtitle">
    <w:name w:val="Subtitle"/>
    <w:basedOn w:val="Normal"/>
    <w:next w:val="Normal"/>
    <w:rsid w:val="00A35622"/>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A35622"/>
    <w:tblPr>
      <w:tblStyleRowBandSize w:val="1"/>
      <w:tblStyleColBandSize w:val="1"/>
    </w:tblPr>
  </w:style>
  <w:style w:type="table" w:customStyle="1" w:styleId="a0">
    <w:basedOn w:val="TableNormal"/>
    <w:rsid w:val="00A35622"/>
    <w:tblPr>
      <w:tblStyleRowBandSize w:val="1"/>
      <w:tblStyleColBandSize w:val="1"/>
    </w:tblPr>
  </w:style>
  <w:style w:type="table" w:customStyle="1" w:styleId="a1">
    <w:basedOn w:val="TableNormal"/>
    <w:rsid w:val="00A35622"/>
    <w:tblPr>
      <w:tblStyleRowBandSize w:val="1"/>
      <w:tblStyleColBandSize w:val="1"/>
    </w:tblPr>
  </w:style>
  <w:style w:type="table" w:customStyle="1" w:styleId="a2">
    <w:basedOn w:val="TableNormal"/>
    <w:rsid w:val="00A35622"/>
    <w:tblPr>
      <w:tblStyleRowBandSize w:val="1"/>
      <w:tblStyleColBandSize w:val="1"/>
    </w:tblPr>
  </w:style>
  <w:style w:type="table" w:customStyle="1" w:styleId="a3">
    <w:basedOn w:val="TableNormal"/>
    <w:rsid w:val="00A35622"/>
    <w:tblPr>
      <w:tblStyleRowBandSize w:val="1"/>
      <w:tblStyleColBandSize w:val="1"/>
    </w:tblPr>
  </w:style>
  <w:style w:type="table" w:customStyle="1" w:styleId="a4">
    <w:basedOn w:val="TableNormal"/>
    <w:rsid w:val="00A35622"/>
    <w:tblPr>
      <w:tblStyleRowBandSize w:val="1"/>
      <w:tblStyleColBandSize w:val="1"/>
    </w:tblPr>
  </w:style>
  <w:style w:type="table" w:customStyle="1" w:styleId="a5">
    <w:basedOn w:val="TableNormal"/>
    <w:rsid w:val="00A35622"/>
    <w:tblPr>
      <w:tblStyleRowBandSize w:val="1"/>
      <w:tblStyleColBandSize w:val="1"/>
    </w:tblPr>
  </w:style>
  <w:style w:type="table" w:customStyle="1" w:styleId="a6">
    <w:basedOn w:val="TableNormal"/>
    <w:rsid w:val="00A35622"/>
    <w:tblPr>
      <w:tblStyleRowBandSize w:val="1"/>
      <w:tblStyleColBandSize w:val="1"/>
    </w:tblPr>
  </w:style>
  <w:style w:type="table" w:customStyle="1" w:styleId="a7">
    <w:basedOn w:val="TableNormal"/>
    <w:rsid w:val="00A35622"/>
    <w:tblPr>
      <w:tblStyleRowBandSize w:val="1"/>
      <w:tblStyleColBandSize w:val="1"/>
    </w:tblPr>
  </w:style>
  <w:style w:type="table" w:customStyle="1" w:styleId="a8">
    <w:basedOn w:val="TableNormal"/>
    <w:rsid w:val="00A35622"/>
    <w:tblPr>
      <w:tblStyleRowBandSize w:val="1"/>
      <w:tblStyleColBandSize w:val="1"/>
    </w:tblPr>
  </w:style>
  <w:style w:type="table" w:customStyle="1" w:styleId="a9">
    <w:basedOn w:val="TableNormal"/>
    <w:rsid w:val="00A35622"/>
    <w:tblPr>
      <w:tblStyleRowBandSize w:val="1"/>
      <w:tblStyleColBandSize w:val="1"/>
    </w:tblPr>
  </w:style>
  <w:style w:type="table" w:styleId="TableGrid">
    <w:name w:val="Table Grid"/>
    <w:basedOn w:val="TableNormal"/>
    <w:uiPriority w:val="59"/>
    <w:rsid w:val="007D64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1">
    <w:name w:val="addmd1"/>
    <w:basedOn w:val="DefaultParagraphFont"/>
    <w:rsid w:val="00D942AC"/>
    <w:rPr>
      <w:sz w:val="20"/>
      <w:szCs w:val="20"/>
    </w:rPr>
  </w:style>
  <w:style w:type="character" w:styleId="Emphasis">
    <w:name w:val="Emphasis"/>
    <w:basedOn w:val="DefaultParagraphFont"/>
    <w:uiPriority w:val="20"/>
    <w:qFormat/>
    <w:rsid w:val="00FB03B3"/>
    <w:rPr>
      <w:i/>
      <w:iCs/>
    </w:rPr>
  </w:style>
  <w:style w:type="character" w:customStyle="1" w:styleId="apple-converted-space">
    <w:name w:val="apple-converted-space"/>
    <w:basedOn w:val="DefaultParagraphFont"/>
    <w:rsid w:val="00FB03B3"/>
  </w:style>
  <w:style w:type="character" w:styleId="Hyperlink">
    <w:name w:val="Hyperlink"/>
    <w:basedOn w:val="DefaultParagraphFont"/>
    <w:uiPriority w:val="99"/>
    <w:semiHidden/>
    <w:unhideWhenUsed/>
    <w:rsid w:val="00FB03B3"/>
    <w:rPr>
      <w:color w:val="0000FF"/>
      <w:u w:val="single"/>
    </w:rPr>
  </w:style>
  <w:style w:type="character" w:styleId="Strong">
    <w:name w:val="Strong"/>
    <w:basedOn w:val="DefaultParagraphFont"/>
    <w:uiPriority w:val="22"/>
    <w:qFormat/>
    <w:rsid w:val="00C37DB5"/>
    <w:rPr>
      <w:b/>
      <w:bCs/>
    </w:rPr>
  </w:style>
  <w:style w:type="paragraph" w:styleId="BalloonText">
    <w:name w:val="Balloon Text"/>
    <w:basedOn w:val="Normal"/>
    <w:link w:val="BalloonTextChar"/>
    <w:uiPriority w:val="99"/>
    <w:semiHidden/>
    <w:unhideWhenUsed/>
    <w:rsid w:val="00D438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8A4"/>
    <w:rPr>
      <w:rFonts w:ascii="Tahoma" w:hAnsi="Tahoma" w:cs="Tahoma"/>
      <w:sz w:val="16"/>
      <w:szCs w:val="16"/>
    </w:rPr>
  </w:style>
  <w:style w:type="paragraph" w:styleId="ListParagraph">
    <w:name w:val="List Paragraph"/>
    <w:basedOn w:val="Normal"/>
    <w:uiPriority w:val="34"/>
    <w:qFormat/>
    <w:rsid w:val="00FA613B"/>
    <w:pPr>
      <w:ind w:left="720"/>
      <w:contextualSpacing/>
    </w:pPr>
  </w:style>
  <w:style w:type="paragraph" w:styleId="Header">
    <w:name w:val="header"/>
    <w:basedOn w:val="Normal"/>
    <w:link w:val="HeaderChar"/>
    <w:uiPriority w:val="99"/>
    <w:unhideWhenUsed/>
    <w:rsid w:val="009C2A58"/>
    <w:pPr>
      <w:tabs>
        <w:tab w:val="center" w:pos="4680"/>
        <w:tab w:val="right" w:pos="9360"/>
      </w:tabs>
      <w:spacing w:line="240" w:lineRule="auto"/>
    </w:pPr>
  </w:style>
  <w:style w:type="character" w:customStyle="1" w:styleId="HeaderChar">
    <w:name w:val="Header Char"/>
    <w:basedOn w:val="DefaultParagraphFont"/>
    <w:link w:val="Header"/>
    <w:uiPriority w:val="99"/>
    <w:rsid w:val="009C2A58"/>
  </w:style>
  <w:style w:type="paragraph" w:styleId="Footer">
    <w:name w:val="footer"/>
    <w:basedOn w:val="Normal"/>
    <w:link w:val="FooterChar"/>
    <w:uiPriority w:val="99"/>
    <w:unhideWhenUsed/>
    <w:rsid w:val="009C2A58"/>
    <w:pPr>
      <w:tabs>
        <w:tab w:val="center" w:pos="4680"/>
        <w:tab w:val="right" w:pos="9360"/>
      </w:tabs>
      <w:spacing w:line="240" w:lineRule="auto"/>
    </w:pPr>
  </w:style>
  <w:style w:type="character" w:customStyle="1" w:styleId="FooterChar">
    <w:name w:val="Footer Char"/>
    <w:basedOn w:val="DefaultParagraphFont"/>
    <w:link w:val="Footer"/>
    <w:uiPriority w:val="99"/>
    <w:rsid w:val="009C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0532">
      <w:bodyDiv w:val="1"/>
      <w:marLeft w:val="0"/>
      <w:marRight w:val="0"/>
      <w:marTop w:val="0"/>
      <w:marBottom w:val="0"/>
      <w:divBdr>
        <w:top w:val="none" w:sz="0" w:space="0" w:color="auto"/>
        <w:left w:val="none" w:sz="0" w:space="0" w:color="auto"/>
        <w:bottom w:val="none" w:sz="0" w:space="0" w:color="auto"/>
        <w:right w:val="none" w:sz="0" w:space="0" w:color="auto"/>
      </w:divBdr>
    </w:div>
    <w:div w:id="1175606644">
      <w:bodyDiv w:val="1"/>
      <w:marLeft w:val="0"/>
      <w:marRight w:val="0"/>
      <w:marTop w:val="0"/>
      <w:marBottom w:val="0"/>
      <w:divBdr>
        <w:top w:val="none" w:sz="0" w:space="0" w:color="auto"/>
        <w:left w:val="none" w:sz="0" w:space="0" w:color="auto"/>
        <w:bottom w:val="none" w:sz="0" w:space="0" w:color="auto"/>
        <w:right w:val="none" w:sz="0" w:space="0" w:color="auto"/>
      </w:divBdr>
      <w:divsChild>
        <w:div w:id="2060276563">
          <w:marLeft w:val="0"/>
          <w:marRight w:val="0"/>
          <w:marTop w:val="0"/>
          <w:marBottom w:val="0"/>
          <w:divBdr>
            <w:top w:val="none" w:sz="0" w:space="0" w:color="auto"/>
            <w:left w:val="none" w:sz="0" w:space="0" w:color="auto"/>
            <w:bottom w:val="none" w:sz="0" w:space="0" w:color="auto"/>
            <w:right w:val="none" w:sz="0" w:space="0" w:color="auto"/>
          </w:divBdr>
          <w:divsChild>
            <w:div w:id="6636699">
              <w:marLeft w:val="0"/>
              <w:marRight w:val="0"/>
              <w:marTop w:val="0"/>
              <w:marBottom w:val="0"/>
              <w:divBdr>
                <w:top w:val="none" w:sz="0" w:space="0" w:color="auto"/>
                <w:left w:val="none" w:sz="0" w:space="0" w:color="auto"/>
                <w:bottom w:val="none" w:sz="0" w:space="0" w:color="auto"/>
                <w:right w:val="none" w:sz="0" w:space="0" w:color="auto"/>
              </w:divBdr>
              <w:divsChild>
                <w:div w:id="493299962">
                  <w:marLeft w:val="0"/>
                  <w:marRight w:val="0"/>
                  <w:marTop w:val="0"/>
                  <w:marBottom w:val="0"/>
                  <w:divBdr>
                    <w:top w:val="none" w:sz="0" w:space="0" w:color="auto"/>
                    <w:left w:val="none" w:sz="0" w:space="0" w:color="auto"/>
                    <w:bottom w:val="none" w:sz="0" w:space="0" w:color="auto"/>
                    <w:right w:val="none" w:sz="0" w:space="0" w:color="auto"/>
                  </w:divBdr>
                  <w:divsChild>
                    <w:div w:id="167260484">
                      <w:marLeft w:val="375"/>
                      <w:marRight w:val="375"/>
                      <w:marTop w:val="0"/>
                      <w:marBottom w:val="0"/>
                      <w:divBdr>
                        <w:top w:val="none" w:sz="0" w:space="0" w:color="auto"/>
                        <w:left w:val="none" w:sz="0" w:space="0" w:color="auto"/>
                        <w:bottom w:val="none" w:sz="0" w:space="0" w:color="auto"/>
                        <w:right w:val="none" w:sz="0" w:space="0" w:color="auto"/>
                      </w:divBdr>
                      <w:divsChild>
                        <w:div w:id="14738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00230">
      <w:bodyDiv w:val="1"/>
      <w:marLeft w:val="0"/>
      <w:marRight w:val="0"/>
      <w:marTop w:val="0"/>
      <w:marBottom w:val="0"/>
      <w:divBdr>
        <w:top w:val="none" w:sz="0" w:space="0" w:color="auto"/>
        <w:left w:val="none" w:sz="0" w:space="0" w:color="auto"/>
        <w:bottom w:val="none" w:sz="0" w:space="0" w:color="auto"/>
        <w:right w:val="none" w:sz="0" w:space="0" w:color="auto"/>
      </w:divBdr>
      <w:divsChild>
        <w:div w:id="657340989">
          <w:marLeft w:val="0"/>
          <w:marRight w:val="0"/>
          <w:marTop w:val="0"/>
          <w:marBottom w:val="0"/>
          <w:divBdr>
            <w:top w:val="none" w:sz="0" w:space="0" w:color="auto"/>
            <w:left w:val="none" w:sz="0" w:space="0" w:color="auto"/>
            <w:bottom w:val="none" w:sz="0" w:space="0" w:color="auto"/>
            <w:right w:val="none" w:sz="0" w:space="0" w:color="auto"/>
          </w:divBdr>
        </w:div>
        <w:div w:id="1449662832">
          <w:marLeft w:val="0"/>
          <w:marRight w:val="0"/>
          <w:marTop w:val="0"/>
          <w:marBottom w:val="150"/>
          <w:divBdr>
            <w:top w:val="none" w:sz="0" w:space="0" w:color="auto"/>
            <w:left w:val="none" w:sz="0" w:space="0" w:color="auto"/>
            <w:bottom w:val="single" w:sz="6" w:space="4" w:color="DBD5CF"/>
            <w:right w:val="none" w:sz="0" w:space="0" w:color="auto"/>
          </w:divBdr>
        </w:div>
      </w:divsChild>
    </w:div>
    <w:div w:id="1601795280">
      <w:bodyDiv w:val="1"/>
      <w:marLeft w:val="0"/>
      <w:marRight w:val="0"/>
      <w:marTop w:val="0"/>
      <w:marBottom w:val="0"/>
      <w:divBdr>
        <w:top w:val="none" w:sz="0" w:space="0" w:color="auto"/>
        <w:left w:val="none" w:sz="0" w:space="0" w:color="auto"/>
        <w:bottom w:val="none" w:sz="0" w:space="0" w:color="auto"/>
        <w:right w:val="none" w:sz="0" w:space="0" w:color="auto"/>
      </w:divBdr>
      <w:divsChild>
        <w:div w:id="1697267275">
          <w:marLeft w:val="0"/>
          <w:marRight w:val="0"/>
          <w:marTop w:val="0"/>
          <w:marBottom w:val="0"/>
          <w:divBdr>
            <w:top w:val="none" w:sz="0" w:space="0" w:color="auto"/>
            <w:left w:val="none" w:sz="0" w:space="0" w:color="auto"/>
            <w:bottom w:val="none" w:sz="0" w:space="0" w:color="auto"/>
            <w:right w:val="none" w:sz="0" w:space="0" w:color="auto"/>
          </w:divBdr>
          <w:divsChild>
            <w:div w:id="1006328501">
              <w:marLeft w:val="0"/>
              <w:marRight w:val="0"/>
              <w:marTop w:val="432"/>
              <w:marBottom w:val="0"/>
              <w:divBdr>
                <w:top w:val="single" w:sz="8" w:space="0" w:color="auto"/>
                <w:left w:val="none" w:sz="0" w:space="0" w:color="auto"/>
                <w:bottom w:val="none" w:sz="0" w:space="0" w:color="auto"/>
                <w:right w:val="none" w:sz="0" w:space="0" w:color="auto"/>
              </w:divBdr>
              <w:divsChild>
                <w:div w:id="2086829657">
                  <w:marLeft w:val="0"/>
                  <w:marRight w:val="0"/>
                  <w:marTop w:val="0"/>
                  <w:marBottom w:val="0"/>
                  <w:divBdr>
                    <w:top w:val="none" w:sz="0" w:space="0" w:color="auto"/>
                    <w:left w:val="none" w:sz="0" w:space="0" w:color="auto"/>
                    <w:bottom w:val="none" w:sz="0" w:space="0" w:color="auto"/>
                    <w:right w:val="none" w:sz="0" w:space="0" w:color="auto"/>
                  </w:divBdr>
                  <w:divsChild>
                    <w:div w:id="807360978">
                      <w:marLeft w:val="0"/>
                      <w:marRight w:val="103"/>
                      <w:marTop w:val="0"/>
                      <w:marBottom w:val="62"/>
                      <w:divBdr>
                        <w:top w:val="none" w:sz="0" w:space="0" w:color="auto"/>
                        <w:left w:val="none" w:sz="0" w:space="0" w:color="auto"/>
                        <w:bottom w:val="none" w:sz="0" w:space="0" w:color="auto"/>
                        <w:right w:val="none" w:sz="0" w:space="0" w:color="auto"/>
                      </w:divBdr>
                      <w:divsChild>
                        <w:div w:id="796726858">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B4B2A-8F07-4BCD-AA58-D158DEA2543C}">
  <ds:schemaRefs>
    <ds:schemaRef ds:uri="http://schemas.openxmlformats.org/officeDocument/2006/bibliography"/>
  </ds:schemaRefs>
</ds:datastoreItem>
</file>

<file path=customXml/itemProps2.xml><?xml version="1.0" encoding="utf-8"?>
<ds:datastoreItem xmlns:ds="http://schemas.openxmlformats.org/officeDocument/2006/customXml" ds:itemID="{26A6064D-5F64-4C7C-B78C-053C129B3D60}"/>
</file>

<file path=customXml/itemProps3.xml><?xml version="1.0" encoding="utf-8"?>
<ds:datastoreItem xmlns:ds="http://schemas.openxmlformats.org/officeDocument/2006/customXml" ds:itemID="{E5578568-1FF2-4C5E-8CB3-441AEAB85819}"/>
</file>

<file path=customXml/itemProps4.xml><?xml version="1.0" encoding="utf-8"?>
<ds:datastoreItem xmlns:ds="http://schemas.openxmlformats.org/officeDocument/2006/customXml" ds:itemID="{FD5D3C1A-97FB-4FF7-9D8C-0A12DDEF1C34}"/>
</file>

<file path=docProps/app.xml><?xml version="1.0" encoding="utf-8"?>
<Properties xmlns="http://schemas.openxmlformats.org/officeDocument/2006/extended-properties" xmlns:vt="http://schemas.openxmlformats.org/officeDocument/2006/docPropsVTypes">
  <Template>Normal</Template>
  <TotalTime>0</TotalTime>
  <Pages>11</Pages>
  <Words>5700</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The Gateway Experience: A Groundbreaking Model.docx</vt:lpstr>
    </vt:vector>
  </TitlesOfParts>
  <Company>Bryant University</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Gateway Experience: A Groundbreaking Model.docx</dc:title>
  <dc:creator>Laurie Hazard</dc:creator>
  <cp:lastModifiedBy>Ashley Kistler</cp:lastModifiedBy>
  <cp:revision>2</cp:revision>
  <cp:lastPrinted>2014-08-27T19:06:00Z</cp:lastPrinted>
  <dcterms:created xsi:type="dcterms:W3CDTF">2021-07-14T18:34:00Z</dcterms:created>
  <dcterms:modified xsi:type="dcterms:W3CDTF">2021-07-14T18:34:00Z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